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color w:val="2D2D2D"/>
          <w:sz w:val="28"/>
          <w:szCs w:val="28"/>
        </w:rPr>
      </w:pPr>
      <w:r>
        <w:rPr>
          <w:bCs w:val="false"/>
          <w:color w:val="2D2D2D"/>
          <w:sz w:val="28"/>
          <w:szCs w:val="28"/>
        </w:rPr>
        <w:t>Внесены изменения ст. 86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color w:val="2D2D2D"/>
          <w:sz w:val="28"/>
          <w:szCs w:val="28"/>
        </w:rPr>
      </w:pPr>
      <w:r>
        <w:rPr>
          <w:bCs w:val="false"/>
          <w:color w:val="2D2D2D"/>
          <w:sz w:val="28"/>
          <w:szCs w:val="28"/>
        </w:rPr>
        <w:t>Семейного кодекса Российской Федерации,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color w:val="2D2D2D"/>
          <w:sz w:val="28"/>
          <w:szCs w:val="28"/>
        </w:rPr>
      </w:pPr>
      <w:r>
        <w:rPr>
          <w:bCs w:val="false"/>
          <w:color w:val="2D2D2D"/>
          <w:sz w:val="28"/>
          <w:szCs w:val="28"/>
        </w:rPr>
        <w:t>касающиеся жилищных прав детей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Федеральным законом от 6 февраля 2020 г. № 10-ФЗ «О внесении изменения в статью 86 Семейного кодекса Российской Федерации» установлено, что разведенные родители будут вместе нести расходы по обеспечению ребенка жильем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Закон призван защитить жилищные права детей при расторжении брака родителей. В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на детей, включено отсутствие пригодного для постоянного проживания жилого помещения. Это позволит суду привлекать родителя, проживающего отдельно от ребенка, к участию в несении дополнительных расходов на обеспечение его жильем.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13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1113e9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113e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1113e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107</Words>
  <Characters>706</Characters>
  <CharactersWithSpaces>860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2020-06-24T18:35:00Z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