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8"/>
          <w:szCs w:val="28"/>
        </w:rPr>
      </w:pPr>
      <w:hyperlink r:id="rId2">
        <w:r>
          <w:rPr>
            <w:rFonts w:ascii="Times New Roman" w:hAnsi="Times New Roman"/>
            <w:b/>
            <w:color w:val="auto"/>
            <w:sz w:val="28"/>
            <w:szCs w:val="28"/>
            <w:u w:val="none"/>
          </w:rPr>
          <w:t>При отсутствии у должника иного имущества, на которое может быть обращено взыскание, закон допускает возможность обращения взыскания на имущество, стоимость которого превышает сумму задолженности</w:t>
        </w:r>
      </w:hyperlink>
      <w:bookmarkStart w:id="0" w:name="_GoBack"/>
      <w:bookmarkEnd w:id="0"/>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В соответствии со ст. 12 Федерального закона от 21 июля 1997 г. № 118-ФЗ «О судебных приставах» судебный пристав-исполнитель обязан принять все меры по своевременному, полному и правильному исполнению исполнительных документов. Согласно ст. 69 Федерального закона от 2 октября 2007 г. № 229-ФЗ «Об исполнительном производстве» (далее – Федеральный закон «Об исполнительном производстве») обращение взыскания на имущество должника включает изъятие имущества и (или) его принудительную реализацию либо передачу взыскателю.</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 </w:t>
      </w:r>
      <w:r>
        <w:rPr>
          <w:rStyle w:val="Style15"/>
          <w:rFonts w:ascii="Times New Roman" w:hAnsi="Times New Roman"/>
          <w:i w:val="false"/>
          <w:color w:val="000000"/>
          <w:sz w:val="28"/>
          <w:szCs w:val="28"/>
          <w:shd w:fill="FFFFFF" w:val="clear"/>
        </w:rPr>
        <w:t xml:space="preserve">Взыскание на имущество должника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на совершение исполнительных действий, исполнительского сбора и штрафов, наложенных судебным приставом-исполнителем в процессе исполнения исполнительного документа.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изъятого из оборота, и имущества, на которое в соответствии с федеральным законом не может быть обращено взыскание, независимо от того, где и в чьем фактическом владении и (или) пользовании оно находится.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Пунктом 5 ст. 4 Федерального закона «Об исполнительном производстве» закреплен принцип соотносимости объема требований взыскателя и мер принудительного исполнения, который заключается в том, что все применяемые в процессе исполнения меры принуждения должны быть адекватны требованиям, содержащимся в исполнительном документе.</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 xml:space="preserve">В том случае, когда у должника имеется лишь имущество, значительно превышающее сумму долга, закон допускает возможность обращения взыскания на имущество, стоимость которого превышает сумму задолженности. Возможность обращения взыскания на указанное имущество вытекает из положений ч. 12 ст. 87 и ч. 6 ст. 110 Федерального закона «Об исполнительном производстве», предусматривающих выплату должнику разницы между суммой, вырученной от реализации имущества, на которое обращено взыскание, и суммой задолженности по исполнительному документу. Принцип соотносимости объема требований взыскателя и мер принудительного исполнения, изложенный в п. 5 ст. 4 Федерального закона «Об исполнительном производстве», основан на правовой позиции Конституционного Суда Российской Федерации, выраженной в постановлении от 12 июля 2007 г. № 10-П, в п. 2.2 мотивировочной части которого указано, что законодательная регламентация обращения взыскания по исполнительным документам должна осуществляться на стабильной правовой основе сбалансированного регулирования прав и законных интересов всех участников исполнительного производства с законодательным установлением пределов возможного взыскания, не затрагивающих основное содержание прав должника и одновременно отвечающих интересам защиты прав кредитора (охватывающих его право требования), с целью предотвращения либо уменьшения размера негативных последствий неисполнения обязательства должником. </w:t>
      </w:r>
    </w:p>
    <w:p>
      <w:pPr>
        <w:pStyle w:val="Normal"/>
        <w:spacing w:lineRule="auto" w:line="240" w:before="0" w:after="0"/>
        <w:ind w:firstLine="708"/>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Согласно ч. 5 ст. 69 Федерального закона «Об исполнительном производстве»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 Таким образом, несоразмерность суммы взыскания по исполнительному производству стоимости реализуемого имущества, на которое обращается взыскание, при отсутствии у должников иного соразмерного имущества не может нарушать их права, поскольку после удовлетворения требований взыскателя, оплаты расходов на совершение исполнительных действий и оплаты исполнительского сбора, оставшиеся денежные средства от реализации арестованного имущества возвращаются должнику согласно ч. 6 ст. 110 Федерального закона «Об исполнительном производстве».</w:t>
      </w:r>
    </w:p>
    <w:p>
      <w:pPr>
        <w:pStyle w:val="Normal"/>
        <w:spacing w:lineRule="auto" w:line="240" w:before="0" w:after="0"/>
        <w:jc w:val="both"/>
        <w:rPr>
          <w:rStyle w:val="Style15"/>
          <w:rFonts w:ascii="Times New Roman" w:hAnsi="Times New Roman"/>
          <w:i w:val="false"/>
          <w:i w:val="false"/>
          <w:color w:val="000000"/>
          <w:sz w:val="28"/>
          <w:szCs w:val="28"/>
          <w:highlight w:val="white"/>
        </w:rPr>
      </w:pPr>
      <w:r>
        <w:rPr>
          <w:rFonts w:ascii="Times New Roman" w:hAnsi="Times New Roman"/>
          <w:i w:val="false"/>
          <w:color w:val="000000"/>
          <w:sz w:val="28"/>
          <w:szCs w:val="28"/>
          <w:highlight w:val="white"/>
        </w:rPr>
      </w:r>
    </w:p>
    <w:p>
      <w:pPr>
        <w:pStyle w:val="Normal"/>
        <w:spacing w:lineRule="auto" w:line="240" w:before="0" w:after="0"/>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Помощник прокурора</w:t>
      </w:r>
    </w:p>
    <w:p>
      <w:pPr>
        <w:pStyle w:val="Normal"/>
        <w:spacing w:lineRule="auto" w:line="240" w:before="0" w:after="0"/>
        <w:jc w:val="both"/>
        <w:rPr>
          <w:rStyle w:val="Style15"/>
          <w:rFonts w:ascii="Times New Roman" w:hAnsi="Times New Roman"/>
          <w:i w:val="false"/>
          <w:i w:val="false"/>
          <w:color w:val="000000"/>
          <w:sz w:val="28"/>
          <w:szCs w:val="28"/>
          <w:highlight w:val="white"/>
        </w:rPr>
      </w:pPr>
      <w:r>
        <w:rPr>
          <w:rStyle w:val="Style15"/>
          <w:rFonts w:ascii="Times New Roman" w:hAnsi="Times New Roman"/>
          <w:i w:val="false"/>
          <w:color w:val="000000"/>
          <w:sz w:val="28"/>
          <w:szCs w:val="28"/>
          <w:shd w:fill="FFFFFF" w:val="clear"/>
        </w:rPr>
        <w:t>Заветинского района юрист 1 класса                                      А.Н.Беркунов</w:t>
      </w:r>
    </w:p>
    <w:p>
      <w:pPr>
        <w:pStyle w:val="Normal"/>
        <w:rPr/>
      </w:pPr>
      <w:r>
        <w:rPr/>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4"/>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53c20"/>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unhideWhenUsed/>
    <w:rsid w:val="00853c20"/>
    <w:rPr>
      <w:color w:val="0000FF"/>
      <w:u w:val="single"/>
    </w:rPr>
  </w:style>
  <w:style w:type="character" w:styleId="Style15">
    <w:name w:val="Выделение"/>
    <w:uiPriority w:val="99"/>
    <w:qFormat/>
    <w:rsid w:val="00853c20"/>
    <w:rPr>
      <w:rFonts w:cs="Times New Roman"/>
      <w:i/>
      <w:iCs/>
    </w:rPr>
  </w:style>
  <w:style w:type="paragraph" w:styleId="Style16">
    <w:name w:val="Заголовок"/>
    <w:basedOn w:val="Normal"/>
    <w:next w:val="Style17"/>
    <w:qFormat/>
    <w:pPr>
      <w:keepNext w:val="true"/>
      <w:spacing w:before="240" w:after="120"/>
    </w:pPr>
    <w:rPr>
      <w:rFonts w:ascii="Liberation Sans" w:hAnsi="Liberation Sans" w:eastAsia="Microsoft YaHei" w:cs="Mangal"/>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Mangal"/>
    </w:rPr>
  </w:style>
  <w:style w:type="paragraph" w:styleId="Style19">
    <w:name w:val="Caption"/>
    <w:basedOn w:val="Normal"/>
    <w:qFormat/>
    <w:pPr>
      <w:suppressLineNumbers/>
      <w:spacing w:before="120" w:after="120"/>
    </w:pPr>
    <w:rPr>
      <w:rFonts w:cs="Mangal"/>
      <w:i/>
      <w:iCs/>
      <w:sz w:val="24"/>
      <w:szCs w:val="24"/>
    </w:rPr>
  </w:style>
  <w:style w:type="paragraph" w:styleId="Style20">
    <w:name w:val="Указатель"/>
    <w:basedOn w:val="Normal"/>
    <w:qFormat/>
    <w:pPr>
      <w:suppressLineNumbers/>
    </w:pPr>
    <w:rPr>
      <w:rFonts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procing.ru/proc417/4.php"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LibreOffice/6.4.0.3$Windows_x86 LibreOffice_project/b0a288ab3d2d4774cb44b62f04d5d28733ac6df8</Application>
  <Pages>2</Pages>
  <Words>502</Words>
  <Characters>3646</Characters>
  <CharactersWithSpaces>4181</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2020-06-24T18:26:00Z</dcterms:created>
  <dc:creator>Беркунов Алексей Николаевич</dc:creator>
  <dc:description/>
  <dc:language>ru-RU</dc:language>
  <cp:lastModifiedBy>Беркунов Алексей Николаевич</cp:lastModifiedBy>
  <dcterms:modified xsi:type="dcterms:W3CDTF">2020-06-24T18:26:00Z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