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tabs defTabSz="720">
          <w:tab w:val="left" w:pos="709" w:leader="none"/>
        </w:tabs>
        <w:rPr>
          <w:b/>
        </w:rPr>
      </w:pPr>
      <w:r/>
      <w:r>
        <w:rPr>
          <w:noProof/>
        </w:rPr>
        <w:drawing>
          <wp:inline distT="0" distB="0" distL="0" distR="0">
            <wp:extent cx="542925" cy="593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80A4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/////b////z////9v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p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0" t="-100" r="-130" b="-10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  <w:tabs defTabSz="720">
          <w:tab w:val="left" w:pos="709" w:leader="none"/>
        </w:tabs>
      </w:pPr>
      <w:r>
        <w:t>Российская Федерация</w:t>
      </w:r>
    </w:p>
    <w:p>
      <w:pPr>
        <w:spacing/>
        <w:jc w:val="center"/>
      </w:pPr>
      <w:r>
        <w:rPr>
          <w:sz w:val="32"/>
          <w:szCs w:val="32"/>
        </w:rPr>
        <w:t>Ростовская область</w:t>
      </w:r>
      <w:r/>
    </w:p>
    <w:p>
      <w:pPr>
        <w:spacing/>
        <w:jc w:val="center"/>
      </w:pPr>
      <w:r>
        <w:rPr>
          <w:sz w:val="32"/>
          <w:szCs w:val="32"/>
        </w:rPr>
        <w:t>Заветинский район</w:t>
      </w:r>
      <w:r/>
    </w:p>
    <w:p>
      <w:pPr>
        <w:spacing/>
        <w:jc w:val="center"/>
      </w:pPr>
      <w:r>
        <w:rPr>
          <w:sz w:val="32"/>
          <w:szCs w:val="32"/>
        </w:rPr>
        <w:t>муниципальное образование «Федосеевское сельское поселение»</w:t>
      </w:r>
      <w:r/>
    </w:p>
    <w:p>
      <w:pPr>
        <w:spacing/>
        <w:jc w:val="center"/>
      </w:pPr>
      <w:r>
        <w:rPr>
          <w:sz w:val="32"/>
          <w:szCs w:val="32"/>
        </w:rPr>
        <w:t>Администрация Федосеевского сельского поселения</w:t>
      </w:r>
      <w:r/>
    </w:p>
    <w:p>
      <w:pPr>
        <w:spacing/>
        <w:contextualSpacing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2"/>
        <w:numPr>
          <w:ilvl w:val="5"/>
          <w:numId w:val="2"/>
        </w:numPr>
        <w:ind w:left="0" w:firstLine="0"/>
        <w:contextualSpacing/>
        <w:tabs defTabSz="720">
          <w:tab w:val="left" w:pos="851" w:leader="none"/>
        </w:tabs>
      </w:pPr>
      <w:r>
        <w:t>Постановление</w:t>
      </w:r>
    </w:p>
    <w:p>
      <w:pPr>
        <w:spacing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 11</w:t>
      </w:r>
    </w:p>
    <w:p>
      <w:pPr>
        <w:spacing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03.03.2022</w:t>
        <w:tab/>
        <w:tab/>
        <w:tab/>
        <w:tab/>
        <w:tab/>
        <w:tab/>
        <w:tab/>
        <w:t xml:space="preserve">                                с.Федосеевка</w:t>
      </w:r>
    </w:p>
    <w:p>
      <w:pPr>
        <w:spacing/>
        <w:contextualSpacing/>
        <w:jc w:val="both"/>
      </w:pPr>
      <w:r/>
    </w:p>
    <w:tbl>
      <w:tblPr>
        <w:tblStyle w:val="NormalTable"/>
        <w:name w:val="Таблица1"/>
        <w:tabOrder w:val="0"/>
        <w:jc w:val="left"/>
        <w:tblInd w:w="85" w:type="dxa"/>
        <w:tblW w:w="9448" w:type="dxa"/>
        <w:tblLook w:val="0600" w:firstRow="0" w:lastRow="0" w:firstColumn="0" w:lastColumn="0" w:noHBand="1" w:noVBand="1"/>
      </w:tblPr>
      <w:tblGrid>
        <w:gridCol w:w="4918"/>
        <w:gridCol w:w="4530"/>
      </w:tblGrid>
      <w:tr>
        <w:trPr>
          <w:tblHeader w:val="0"/>
          <w:cantSplit w:val="0"/>
          <w:trHeight w:val="124" w:hRule="atLeast"/>
        </w:trPr>
        <w:tc>
          <w:tcPr>
            <w:tcW w:w="4918" w:type="dxa"/>
            <w:tcMar>
              <w:top w:w="0" w:type="dxa"/>
              <w:left w:w="70" w:type="dxa"/>
              <w:bottom w:w="0" w:type="dxa"/>
              <w:right w:w="70" w:type="dxa"/>
            </w:tcMar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 утверждении программы профилактики </w:t>
            </w:r>
            <w:r>
              <w:rPr>
                <w:color w:val="000000"/>
                <w:sz w:val="28"/>
                <w:szCs w:val="28"/>
              </w:rPr>
              <w:t xml:space="preserve">рисков причинении вреда (ущерба) охраняемым законом ценностям по муниципальному контролю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сфере благоустройства на 2022 год</w:t>
            </w:r>
            <w:r/>
          </w:p>
          <w:p>
            <w:pPr>
              <w:spacing/>
              <w:contextual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0" w:type="dxa"/>
            <w:tcMar>
              <w:top w:w="0" w:type="dxa"/>
              <w:left w:w="70" w:type="dxa"/>
              <w:bottom w:w="0" w:type="dxa"/>
              <w:right w:w="70" w:type="dxa"/>
            </w:tcMar>
            <w:tmTcPr id="1647853811" protected="0"/>
          </w:tcPr>
          <w:p>
            <w:pPr>
              <w:contextualSpacing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3"/>
        <w:ind w:left="0"/>
        <w:spacing w:after="0"/>
        <w:jc w:val="both"/>
        <w:suppressAutoHyphens/>
        <w:hyphenationLines w:val="0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Федосеевского </w:t>
      </w:r>
      <w:r>
        <w:rPr>
          <w:iCs/>
          <w:color w:val="000000"/>
          <w:sz w:val="28"/>
          <w:szCs w:val="28"/>
          <w:shd w:val="clear" w:fill="ffffff"/>
        </w:rPr>
        <w:t>сельского поселения</w:t>
      </w:r>
      <w:r>
        <w:rPr>
          <w:color w:val="000000"/>
          <w:sz w:val="28"/>
          <w:szCs w:val="28"/>
        </w:rPr>
        <w:t>от 03.12.2021 г. №</w:t>
      </w:r>
      <w:r>
        <w:rPr>
          <w:color w:val="000000"/>
          <w:sz w:val="28"/>
          <w:szCs w:val="28"/>
          <w:shd w:val="clear" w:fill="ffffff"/>
        </w:rPr>
        <w:t> </w:t>
      </w:r>
      <w:r>
        <w:rPr>
          <w:color w:val="000000"/>
          <w:sz w:val="28"/>
          <w:szCs w:val="28"/>
        </w:rPr>
        <w:t>16 «Об утверждении положения о муниципальном контроле в сфере благоустройства»</w:t>
      </w:r>
      <w:r/>
    </w:p>
    <w:p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para24"/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both"/>
        <w:suppressAutoHyphens/>
        <w:hyphenationLines w:val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  <w:r/>
    </w:p>
    <w:p>
      <w:pPr>
        <w:spacing/>
        <w:jc w:val="both"/>
        <w:suppressAutoHyphens/>
        <w:hyphenationLines w:val="0"/>
      </w:pPr>
      <w:r>
        <w:rPr>
          <w:color w:val="000000"/>
          <w:sz w:val="28"/>
          <w:szCs w:val="28"/>
          <w:shd w:val="clear" w:fill="ffffff"/>
        </w:rPr>
        <w:tab/>
        <w:t>2. Разместить настоящее постановление на официальном сайте Администрации Федосеевского сельского поселения в сети «Интернет» в разделе «Муниципальный контроль».</w:t>
      </w:r>
      <w:r/>
    </w:p>
    <w:p>
      <w:pPr>
        <w:pStyle w:val="para19"/>
        <w:ind w:firstLine="709"/>
        <w:spacing w:before="109" w:after="0" w:beforeAutospacing="0"/>
        <w:jc w:val="both"/>
        <w:rPr>
          <w:highlight w:val="whit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3. Настоящее постановление вступает в силу  со дня его официального обнародования.</w:t>
      </w:r>
      <w:r>
        <w:rPr>
          <w:highlight w:val="white"/>
          <w:color w:val="000000"/>
          <w:sz w:val="28"/>
          <w:szCs w:val="28"/>
        </w:rPr>
      </w:r>
    </w:p>
    <w:p>
      <w:pPr>
        <w:spacing/>
        <w:jc w:val="both"/>
      </w:pPr>
      <w:r>
        <w:rPr>
          <w:color w:val="000000"/>
          <w:sz w:val="28"/>
          <w:szCs w:val="28"/>
          <w:shd w:val="clear" w:fill="ffffff"/>
        </w:rPr>
        <w:tab/>
        <w:t>4. Контроль за выполнением постановления оставляю за собой.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    А.Р.Ткаченко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муниципального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693" w:right="567" w:bottom="1134" w:header="1134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1134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tbl>
      <w:tblPr>
        <w:tblStyle w:val="NormalTable"/>
        <w:name w:val="Таблица2"/>
        <w:tabOrder w:val="0"/>
        <w:jc w:val="right"/>
        <w:tblInd w:w="0" w:type="dxa"/>
        <w:tblW w:w="4980" w:type="dxa"/>
        <w:tblLook w:val="0600" w:firstRow="0" w:lastRow="0" w:firstColumn="0" w:lastColumn="0" w:noHBand="1" w:noVBand="1"/>
      </w:tblPr>
      <w:tblGrid>
        <w:gridCol w:w="4980"/>
      </w:tblGrid>
      <w:tr>
        <w:trPr>
          <w:tblHeader w:val="0"/>
          <w:cantSplit w:val="0"/>
          <w:trHeight w:val="0" w:hRule="auto"/>
        </w:trPr>
        <w:tc>
          <w:tcPr>
            <w:tcW w:w="4980" w:type="dxa"/>
            <w:tcMar>
              <w:top w:w="55" w:type="dxa"/>
              <w:left w:w="55" w:type="dxa"/>
              <w:bottom w:w="55" w:type="dxa"/>
              <w:right w:w="55" w:type="dxa"/>
            </w:tcMar>
            <w:tmTcPr id="1647853811" protected="0"/>
          </w:tcPr>
          <w:p>
            <w:pPr>
              <w:pStyle w:val="para19"/>
              <w:ind w:firstLine="709"/>
              <w:spacing w:after="0" w:beforeAutospacing="0"/>
              <w:jc w:val="center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>
            <w:pPr>
              <w:pStyle w:val="para19"/>
              <w:ind w:firstLine="709"/>
              <w:spacing w:after="0" w:beforeAutospacing="0"/>
              <w:jc w:val="center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</w:r>
          </w:p>
          <w:p>
            <w:pPr>
              <w:pStyle w:val="para19"/>
              <w:ind w:firstLine="709"/>
              <w:spacing w:after="0" w:beforeAutospacing="0"/>
              <w:jc w:val="center"/>
              <w:widowControl w:val="0"/>
              <w:rPr>
                <w:highlight w:val="whit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shd w:val="clear" w:fill="ffffff"/>
              </w:rPr>
              <w:t xml:space="preserve"> Федосеевского</w:t>
            </w:r>
            <w:r>
              <w:rPr>
                <w:highlight w:val="white"/>
                <w:color w:val="000000"/>
                <w:sz w:val="28"/>
                <w:szCs w:val="28"/>
              </w:rPr>
            </w:r>
          </w:p>
          <w:p>
            <w:pPr>
              <w:pStyle w:val="para19"/>
              <w:ind w:firstLine="709"/>
              <w:spacing w:after="0" w:beforeAutospacing="0"/>
              <w:jc w:val="center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сельского поселения</w:t>
            </w:r>
            <w:r>
              <w:rPr>
                <w:sz w:val="28"/>
                <w:szCs w:val="28"/>
              </w:rPr>
            </w:r>
          </w:p>
          <w:p>
            <w:pPr>
              <w:pStyle w:val="para19"/>
              <w:ind w:firstLine="709"/>
              <w:spacing w:after="0" w:beforeAutospacing="0"/>
              <w:jc w:val="center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03.03.2022  №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para19"/>
        <w:ind w:firstLine="709"/>
        <w:spacing w:before="280" w:after="0" w:beforeAutospac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9"/>
        <w:ind w:firstLine="709"/>
        <w:spacing w:before="280"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>ПРОГРАММА</w:t>
      </w:r>
      <w:r>
        <w:rPr>
          <w:sz w:val="28"/>
          <w:szCs w:val="28"/>
        </w:rPr>
      </w:r>
    </w:p>
    <w:p>
      <w:pPr>
        <w:pStyle w:val="para19"/>
        <w:spacing w:before="280"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>Профилактики рисков причинения вреда (ущерба) охраняемым законом ценностям по муниципальному</w:t>
      </w:r>
      <w:r>
        <w:rPr>
          <w:sz w:val="28"/>
          <w:szCs w:val="28"/>
        </w:rPr>
      </w:r>
    </w:p>
    <w:p>
      <w:pPr>
        <w:pStyle w:val="para19"/>
        <w:spacing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>контролю в сфере благоустройства на 2022 год</w:t>
      </w:r>
      <w:r>
        <w:rPr>
          <w:sz w:val="28"/>
          <w:szCs w:val="28"/>
        </w:rPr>
      </w:r>
    </w:p>
    <w:p>
      <w:pPr>
        <w:pStyle w:val="para19"/>
        <w:spacing w:before="280" w:after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3"/>
        <w:tabOrder w:val="0"/>
        <w:jc w:val="left"/>
        <w:tblInd w:w="-255" w:type="dxa"/>
        <w:tblW w:w="14635" w:type="dxa"/>
        <w:tblLook w:val="04A0" w:firstRow="1" w:lastRow="0" w:firstColumn="1" w:lastColumn="0" w:noHBand="0" w:noVBand="1"/>
      </w:tblPr>
      <w:tblGrid>
        <w:gridCol w:w="490"/>
        <w:gridCol w:w="2996"/>
        <w:gridCol w:w="1036"/>
        <w:gridCol w:w="1576"/>
        <w:gridCol w:w="918"/>
        <w:gridCol w:w="2725"/>
        <w:gridCol w:w="4894"/>
      </w:tblGrid>
      <w:tr>
        <w:trPr>
          <w:tblHeader w:val="0"/>
          <w:cantSplit w:val="0"/>
          <w:trHeight w:val="0" w:hRule="auto"/>
        </w:trPr>
        <w:tc>
          <w:tcPr>
            <w:tcW w:w="1463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I. А</w:t>
            </w:r>
            <w:r>
              <w:rPr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pStyle w:val="para20"/>
              <w:ind w:left="0" w:firstLine="0"/>
              <w:spacing w:before="280" w:beforeAutospacing="0"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значения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А</w:t>
            </w:r>
            <w:r>
              <w:rPr>
                <w:sz w:val="28"/>
                <w:szCs w:val="28"/>
              </w:rPr>
              <w:t xml:space="preserve">нализ текущего состояния осуществления </w:t>
            </w:r>
            <w:r>
              <w:rPr>
                <w:color w:val="000000"/>
                <w:sz w:val="28"/>
                <w:szCs w:val="28"/>
                <w:shd w:val="clear" w:fill="ffffff"/>
              </w:rPr>
              <w:t>муниципального контроля в сфере благоустройства</w:t>
            </w:r>
            <w:r>
              <w:rPr>
                <w:sz w:val="28"/>
                <w:szCs w:val="28"/>
              </w:rPr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1.1. Программа профилактики </w:t>
            </w:r>
            <w:r>
              <w:rPr>
                <w:color w:val="000000"/>
                <w:sz w:val="28"/>
                <w:szCs w:val="28"/>
                <w:shd w:val="clear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Федосеевского сельского поселения и муниципальных нормативных правовых актов, обязательных к применению при благоустройстве территории Федосеевского  сельского поселения, разработана в целях организации осуществления Администрацией Федосеевского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Федосеевского   сельского поселения и муниципальных нормативных правовых актов, обязательных к применению при благоустройстве территории Федосеевского  сельского поселения.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1.2. Программа распространяет свое действие на муниципальный контроль за соблюдением Правил благоустройства территории Федосеевского сельского поселения и муниципальных нормативных правовых актов, обязательных к применению при благоустройстве территории Федосеевского сельского поселения.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1.3. Уполномоченным органом по осуществлению муниципального контроля в сфере благоустройства является Администрация Федосеевского сельского поселения.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Федеральным законом от 31.07.2020 N 248-ФЗ «О государственном контроле (надзоре) и муниципальном контроле в Российской Федерации»;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Федеральным законом от 06.10.2003 N 131-ФЗ «Об общих принципах организации местного самоуправления в Российской Федерации»;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Федеральным законом от 02.05.2006 N 59-ФЗ «О порядке рассмотрения обращений граждан Российской Федерации»;</w:t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Кодексом Ростовской области об административной ответственности;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Правилами благоустройства территории Федосеевского сельского поселения, утвержденными решением Собрания депутатов Федосеевского сельского поселения от 28.02.2018 г. № 53</w:t>
            </w:r>
            <w:r/>
            <w:bookmarkStart w:id="0" w:name="_GoBack"/>
            <w:bookmarkEnd w:id="0"/>
            <w:r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1.6.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Федосеевского сельского поселения и создание неблагоприятной среды проживания и жизнедеятельности в нем населения.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pStyle w:val="para20"/>
              <w:ind w:left="0" w:firstLine="0"/>
              <w:spacing w:beforeAutospacing="0"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Федосеевского сельского поселения осуществляется:</w:t>
            </w:r>
          </w:p>
          <w:p>
            <w:pPr>
              <w:pStyle w:val="para20"/>
              <w:ind w:left="0" w:firstLine="0"/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информирование о необходимости соблюдения Правил благоустройства территории Федосеевского сельского поселения, посредством официального сайта Администрации Федосеевского сельского поселения, публикации в периодических изданиях, социальных сетей;совместная организация и проведение мероприятий по уборке территории Федосеевского сельского поселения;</w:t>
            </w:r>
          </w:p>
          <w:p>
            <w:pPr>
              <w:pStyle w:val="para20"/>
              <w:ind w:left="0" w:firstLine="0"/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выдача предупреждений.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6553856, 16777215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6553856, 16777215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6553856, 16777215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6553856, 16777215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635" w:type="dxa"/>
            <w:gridSpan w:val="7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II. Ц</w:t>
            </w:r>
            <w:r>
              <w:rPr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pStyle w:val="para20"/>
              <w:ind w:left="0" w:firstLine="0"/>
              <w:spacing w:before="280" w:beforeAutospacing="0"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32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реализации программы профилактики</w:t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13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highlight w:val="white"/>
                <w:color w:val="000000"/>
                <w:sz w:val="28"/>
                <w:szCs w:val="28"/>
              </w:rPr>
            </w:pPr>
            <w:r>
              <w:rPr>
                <w:highlight w:val="white"/>
                <w:color w:val="000000"/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635" w:type="dxa"/>
            <w:gridSpan w:val="7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ind w:firstLine="709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III. П</w:t>
            </w:r>
            <w:r>
              <w:rPr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(периодичность)</w:t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4894" w:type="dxa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3.1.</w:t>
            </w:r>
            <w:r>
              <w:rPr>
                <w:sz w:val="28"/>
                <w:szCs w:val="28"/>
              </w:rPr>
            </w:r>
          </w:p>
        </w:tc>
        <w:tc>
          <w:tcPr>
            <w:tcW w:w="652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Информирование</w:t>
            </w: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По мере необходимости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4894" w:type="dxa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pStyle w:val="para20"/>
              <w:ind w:left="0" w:firstLine="0"/>
              <w:spacing w:before="280" w:beforeAutospacing="0"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Администрация Федосеевского сельского поселения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26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К</w:t>
            </w:r>
            <w:r>
              <w:rPr>
                <w:color w:val="000000"/>
                <w:sz w:val="28"/>
                <w:szCs w:val="28"/>
                <w:shd w:val="clear" w:fill="ffffff"/>
              </w:rPr>
              <w:t>онсультирование</w:t>
            </w: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По мере необходимости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4894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pStyle w:val="para20"/>
              <w:ind w:left="0" w:firstLine="0"/>
              <w:spacing w:before="280" w:beforeAutospacing="0"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Администрация Федосеевского сельского поселения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6526" w:type="dxa"/>
            <w:gridSpan w:val="4"/>
            <w:vAlign w:val="center"/>
            <w:tcMar>
              <w:top w:w="0" w:type="dxa"/>
              <w:left w:w="60" w:type="dxa"/>
              <w:bottom w:w="60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Способы консультирования</w:t>
            </w: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489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2996" w:type="dxa"/>
            <w:vAlign w:val="center"/>
            <w:tcMar>
              <w:top w:w="0" w:type="dxa"/>
              <w:left w:w="60" w:type="dxa"/>
              <w:bottom w:w="60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В письменной форме при письменном обращении</w:t>
            </w:r>
            <w:r>
              <w:rPr>
                <w:sz w:val="28"/>
                <w:szCs w:val="28"/>
              </w:rPr>
            </w:r>
          </w:p>
        </w:tc>
        <w:tc>
          <w:tcPr>
            <w:tcW w:w="3530" w:type="dxa"/>
            <w:gridSpan w:val="3"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В устной форме (</w:t>
            </w:r>
            <w:r>
              <w:rPr>
                <w:sz w:val="28"/>
                <w:szCs w:val="28"/>
                <w:shd w:val="clear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489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6526" w:type="dxa"/>
            <w:gridSpan w:val="4"/>
            <w:vAlign w:val="center"/>
            <w:tcMar>
              <w:top w:w="0" w:type="dxa"/>
              <w:left w:w="60" w:type="dxa"/>
              <w:bottom w:w="60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Вопросы, по которым осуществляется консультирование</w:t>
            </w: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489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6526" w:type="dxa"/>
            <w:gridSpan w:val="4"/>
            <w:vAlign w:val="center"/>
            <w:tcMar>
              <w:top w:w="0" w:type="dxa"/>
              <w:left w:w="60" w:type="dxa"/>
              <w:bottom w:w="60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3. Характеристика мер профилактики рисков причинения вреда (ущерба) охраняемым законом ценностям.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6. Иные вопросы, касающиеся муниципального контроля.</w:t>
            </w:r>
            <w:r>
              <w:rPr>
                <w:sz w:val="28"/>
                <w:szCs w:val="28"/>
              </w:rPr>
            </w:r>
          </w:p>
        </w:tc>
        <w:tc>
          <w:tcPr>
            <w:tcW w:w="2725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/>
        </w:tc>
        <w:tc>
          <w:tcPr>
            <w:tcW w:w="4894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4635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ind w:firstLine="709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IV. П</w:t>
            </w:r>
            <w:r>
              <w:rPr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0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8537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pStyle w:val="para20"/>
              <w:ind w:left="0" w:firstLine="0"/>
              <w:spacing w:before="280" w:beforeAutospacing="0"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2836" w:hRule="atLeast"/>
        </w:trPr>
        <w:tc>
          <w:tcPr>
            <w:tcW w:w="490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0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Показатели результативности и эффективности программы профилактики</w:t>
            </w:r>
            <w:r>
              <w:rPr>
                <w:sz w:val="28"/>
                <w:szCs w:val="28"/>
              </w:rPr>
            </w:r>
          </w:p>
        </w:tc>
        <w:tc>
          <w:tcPr>
            <w:tcW w:w="8537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1. Общее количество проведенных профилактических мероприятий.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z w:val="28"/>
                <w:szCs w:val="28"/>
                <w:shd w:val="clear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</w:tcBorders>
            <w:tmTcPr id="1647853811" protected="0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560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</w:tcBorders>
            <w:tmTcPr id="1647853811" protected="0"/>
          </w:tcPr>
          <w:p>
            <w:pPr>
              <w:widowControl w:val="0"/>
              <w:rPr>
                <w:rFonts w:ascii="Arial" w:hAnsi="Arial" w:cs="Arial"/>
                <w:highlight w:val="white"/>
                <w:color w:val="000000"/>
              </w:rPr>
            </w:pPr>
            <w:r>
              <w:rPr>
                <w:rFonts w:ascii="Arial" w:hAnsi="Arial" w:cs="Arial"/>
                <w:highlight w:val="white"/>
                <w:color w:val="000000"/>
              </w:rPr>
            </w:r>
          </w:p>
        </w:tc>
        <w:tc>
          <w:tcPr>
            <w:tcW w:w="8537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  <w:right w:val="single" w:sz="6" w:space="0" w:color="000000" tmln="15, 20, 20, 0, 0"/>
            </w:tcBorders>
            <w:tmTcPr id="1647853811" protected="0"/>
          </w:tcPr>
          <w:p>
            <w:pPr>
              <w:spacing/>
              <w:jc w:val="both"/>
              <w:widowControl w:val="0"/>
              <w:rPr>
                <w:rFonts w:ascii="Arial" w:hAnsi="Arial" w:cs="Arial"/>
                <w:highlight w:val="white"/>
                <w:color w:val="000000"/>
              </w:rPr>
            </w:pPr>
            <w:r>
              <w:rPr>
                <w:rFonts w:ascii="Arial" w:hAnsi="Arial" w:cs="Arial"/>
                <w:highlight w:val="white"/>
                <w:color w:val="000000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по общим вопросам</w:t>
        <w:tab/>
        <w:t xml:space="preserve">                                                    Л.В.Бардыкова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type w:val="nextPage"/>
      <w:pgSz w:h="11906" w:w="16838" w:orient="landscape"/>
      <w:pgMar w:left="1701" w:top="1710" w:right="567" w:bottom="1134" w:header="1134" w:footer="0"/>
      <w:paperSrc w:first="0" w:other="0" a="0" b="0"/>
      <w:pgNumType w:fmt="decimal"/>
      <w:tmGutter w:val="3"/>
      <w:mirrorMargins w:val="0"/>
      <w:tmSection w:h="-2">
        <w:tmHeader w:id="0" w:h="0" edge="113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spacing/>
      <w:jc w:val="center"/>
    </w:pPr>
    <w:r>
      <w:fldChar w:fldCharType="begin"/>
      <w:instrText xml:space="preserve"> PAGE </w:instrText>
      <w:fldChar w:fldCharType="separate"/>
      <w:t>3</w:t>
      <w:fldChar w:fldCharType="end"/>
    </w:r>
  </w:p>
  <w:p>
    <w:pPr>
      <w:pStyle w:val="para15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2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64785381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28"/>
      <w:szCs w:val="28"/>
    </w:rPr>
  </w:style>
  <w:style w:type="paragraph" w:styleId="para2" w:customStyle="1">
    <w:name w:val="Heading 6"/>
    <w:qFormat/>
    <w:basedOn w:val="para0"/>
    <w:next w:val="para0"/>
    <w:pPr>
      <w:numPr>
        <w:ilvl w:val="5"/>
        <w:numId w:val="1"/>
      </w:numPr>
      <w:ind w:left="0" w:firstLine="0"/>
      <w:spacing/>
      <w:jc w:val="center"/>
      <w:keepNext/>
      <w:outlineLvl w:val="5"/>
    </w:pPr>
    <w:rPr>
      <w:b/>
      <w:sz w:val="48"/>
    </w:rPr>
  </w:style>
  <w:style w:type="paragraph" w:styleId="para3" w:customStyle="1">
    <w:name w:val="Heading 8"/>
    <w:qFormat/>
    <w:basedOn w:val="para0"/>
    <w:next w:val="para0"/>
    <w:pPr>
      <w:spacing w:before="240" w:after="60"/>
      <w:outlineLvl w:val="7"/>
    </w:pPr>
    <w:rPr>
      <w:rFonts w:ascii="Calibri" w:hAnsi="Calibri"/>
      <w:i/>
      <w:iCs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 w:line="276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Index Heading"/>
    <w:qFormat/>
    <w:basedOn w:val="para0"/>
    <w:pPr>
      <w:suppressLineNumbers/>
    </w:pPr>
    <w:rPr>
      <w:rFonts w:cs="Mangal"/>
    </w:rPr>
  </w:style>
  <w:style w:type="paragraph" w:styleId="para10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" w:customStyle="1">
    <w:name w:val="Standard"/>
    <w:qFormat/>
    <w:pPr>
      <w:suppressAutoHyphens/>
      <w:hyphenationLines w:val="0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12" w:customStyle="1">
    <w:name w:val="ConsPlusNormal"/>
    <w:qFormat/>
    <w:pPr>
      <w:ind w:firstLine="720"/>
      <w:suppressAutoHyphens/>
      <w:hyphenationLines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3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14" w:customStyle="1">
    <w:name w:val="Верхний и нижний колонтитулы"/>
    <w:qFormat/>
    <w:basedOn w:val="para0"/>
  </w:style>
  <w:style w:type="paragraph" w:styleId="para15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6" w:customStyle="1">
    <w:name w:val="ConsPlusNonformat"/>
    <w:qFormat/>
    <w:pPr>
      <w:suppressAutoHyphens/>
      <w:hyphenationLines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17" w:customStyle="1">
    <w:name w:val="ConsPlusCell"/>
    <w:qFormat/>
    <w:pPr>
      <w:suppressAutoHyphens/>
      <w:hyphenationLines w:val="0"/>
    </w:pPr>
    <w:rPr>
      <w:rFonts w:ascii="Calibri" w:hAnsi="Calibri" w:eastAsia="Calibri"/>
      <w:kern w:val="1"/>
      <w:sz w:val="28"/>
      <w:szCs w:val="28"/>
      <w:lang w:val="ru-ru" w:eastAsia="zh-cn" w:bidi="ar-sa"/>
    </w:rPr>
  </w:style>
  <w:style w:type="paragraph" w:styleId="para1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9">
    <w:name w:val="Normal (Web)"/>
    <w:qFormat/>
    <w:basedOn w:val="para0"/>
    <w:pPr>
      <w:spacing w:after="119" w:beforeAutospacing="1"/>
    </w:pPr>
  </w:style>
  <w:style w:type="paragraph" w:styleId="para20" w:customStyle="1">
    <w:name w:val="sdfootnote1"/>
    <w:qFormat/>
    <w:basedOn w:val="para0"/>
    <w:pPr>
      <w:ind w:left="340" w:hanging="340"/>
      <w:spacing w:beforeAutospacing="1"/>
    </w:pPr>
    <w:rPr>
      <w:sz w:val="20"/>
      <w:szCs w:val="20"/>
    </w:rPr>
  </w:style>
  <w:style w:type="paragraph" w:styleId="para21" w:customStyle="1">
    <w:name w:val="Содержимое таблицы"/>
    <w:qFormat/>
    <w:basedOn w:val="para0"/>
    <w:pPr>
      <w:suppressLineNumbers/>
      <w:widowControl w:val="0"/>
    </w:pPr>
  </w:style>
  <w:style w:type="paragraph" w:styleId="para22" w:customStyle="1">
    <w:name w:val="Заголовок таблицы"/>
    <w:qFormat/>
    <w:basedOn w:val="para21"/>
    <w:pPr>
      <w:spacing/>
      <w:jc w:val="center"/>
    </w:pPr>
    <w:rPr>
      <w:b/>
      <w:bCs/>
    </w:rPr>
  </w:style>
  <w:style w:type="paragraph" w:styleId="para23">
    <w:name w:val="Body Text Indent"/>
    <w:qFormat/>
    <w:basedOn w:val="para0"/>
    <w:pPr>
      <w:ind w:left="283"/>
      <w:spacing w:after="120"/>
    </w:pPr>
  </w:style>
  <w:style w:type="paragraph" w:styleId="para24">
    <w:name w:val="No Spacing"/>
    <w:qFormat/>
    <w:pPr>
      <w:suppressAutoHyphens/>
      <w:hyphenationLines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25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sz w:val="28"/>
      <w:szCs w:val="28"/>
    </w:rPr>
  </w:style>
  <w:style w:type="character" w:styleId="char2" w:customStyle="1">
    <w:name w:val="Заголовок 8 Знак"/>
    <w:basedOn w:val="char0"/>
    <w:rPr>
      <w:rFonts w:ascii="Calibri" w:hAnsi="Calibri" w:eastAsia="Times New Roman" w:cs="Times New Roman"/>
      <w:i/>
      <w:iCs/>
      <w:sz w:val="24"/>
      <w:szCs w:val="24"/>
    </w:rPr>
  </w:style>
  <w:style w:type="character" w:styleId="char3" w:customStyle="1">
    <w:name w:val="Интернет-ссылка"/>
    <w:basedOn w:val="char0"/>
    <w:rPr>
      <w:color w:val="0000ff"/>
      <w:u w:color="ffffff" w:val="single"/>
    </w:rPr>
  </w:style>
  <w:style w:type="character" w:styleId="char4" w:customStyle="1">
    <w:name w:val="Верхний колонтитул Знак"/>
    <w:basedOn w:val="char0"/>
    <w:rPr>
      <w:rFonts w:ascii="Times New Roman" w:hAnsi="Times New Roman" w:eastAsia="Times New Roman" w:cs="Times New Roman"/>
      <w:kern w:val="1"/>
      <w:sz w:val="24"/>
      <w:szCs w:val="24"/>
      <w:lang w:eastAsia="zh-cn"/>
    </w:rPr>
  </w:style>
  <w:style w:type="character" w:styleId="char5" w:customStyle="1">
    <w:name w:val="x-ph__menu__button"/>
    <w:basedOn w:val="char0"/>
  </w:style>
  <w:style w:type="character" w:styleId="char6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7" w:customStyle="1">
    <w:name w:val="Символ концевой сноски"/>
  </w:style>
  <w:style w:type="character" w:styleId="char8" w:customStyle="1">
    <w:name w:val="Верхний колонтитул Знак1"/>
    <w:basedOn w:val="char0"/>
    <w:rPr>
      <w:rFonts w:ascii="Times New Roman" w:hAnsi="Times New Roman" w:eastAsia="Times New Roman"/>
      <w:kern w:val="1"/>
      <w:sz w:val="24"/>
      <w:szCs w:val="24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/>
      <w:kern w:val="1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28"/>
      <w:szCs w:val="28"/>
    </w:rPr>
  </w:style>
  <w:style w:type="paragraph" w:styleId="para2" w:customStyle="1">
    <w:name w:val="Heading 6"/>
    <w:qFormat/>
    <w:basedOn w:val="para0"/>
    <w:next w:val="para0"/>
    <w:pPr>
      <w:numPr>
        <w:ilvl w:val="5"/>
        <w:numId w:val="1"/>
      </w:numPr>
      <w:ind w:left="0" w:firstLine="0"/>
      <w:spacing/>
      <w:jc w:val="center"/>
      <w:keepNext/>
      <w:outlineLvl w:val="5"/>
    </w:pPr>
    <w:rPr>
      <w:b/>
      <w:sz w:val="48"/>
    </w:rPr>
  </w:style>
  <w:style w:type="paragraph" w:styleId="para3" w:customStyle="1">
    <w:name w:val="Heading 8"/>
    <w:qFormat/>
    <w:basedOn w:val="para0"/>
    <w:next w:val="para0"/>
    <w:pPr>
      <w:spacing w:before="240" w:after="60"/>
      <w:outlineLvl w:val="7"/>
    </w:pPr>
    <w:rPr>
      <w:rFonts w:ascii="Calibri" w:hAnsi="Calibri"/>
      <w:i/>
      <w:iCs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 w:line="276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Index Heading"/>
    <w:qFormat/>
    <w:basedOn w:val="para0"/>
    <w:pPr>
      <w:suppressLineNumbers/>
    </w:pPr>
    <w:rPr>
      <w:rFonts w:cs="Mangal"/>
    </w:rPr>
  </w:style>
  <w:style w:type="paragraph" w:styleId="para10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" w:customStyle="1">
    <w:name w:val="Standard"/>
    <w:qFormat/>
    <w:pPr>
      <w:suppressAutoHyphens/>
      <w:hyphenationLines w:val="0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12" w:customStyle="1">
    <w:name w:val="ConsPlusNormal"/>
    <w:qFormat/>
    <w:pPr>
      <w:ind w:firstLine="720"/>
      <w:suppressAutoHyphens/>
      <w:hyphenationLines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3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14" w:customStyle="1">
    <w:name w:val="Верхний и нижний колонтитулы"/>
    <w:qFormat/>
    <w:basedOn w:val="para0"/>
  </w:style>
  <w:style w:type="paragraph" w:styleId="para15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6" w:customStyle="1">
    <w:name w:val="ConsPlusNonformat"/>
    <w:qFormat/>
    <w:pPr>
      <w:suppressAutoHyphens/>
      <w:hyphenationLines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17" w:customStyle="1">
    <w:name w:val="ConsPlusCell"/>
    <w:qFormat/>
    <w:pPr>
      <w:suppressAutoHyphens/>
      <w:hyphenationLines w:val="0"/>
    </w:pPr>
    <w:rPr>
      <w:rFonts w:ascii="Calibri" w:hAnsi="Calibri" w:eastAsia="Calibri"/>
      <w:kern w:val="1"/>
      <w:sz w:val="28"/>
      <w:szCs w:val="28"/>
      <w:lang w:val="ru-ru" w:eastAsia="zh-cn" w:bidi="ar-sa"/>
    </w:rPr>
  </w:style>
  <w:style w:type="paragraph" w:styleId="para1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9">
    <w:name w:val="Normal (Web)"/>
    <w:qFormat/>
    <w:basedOn w:val="para0"/>
    <w:pPr>
      <w:spacing w:after="119" w:beforeAutospacing="1"/>
    </w:pPr>
  </w:style>
  <w:style w:type="paragraph" w:styleId="para20" w:customStyle="1">
    <w:name w:val="sdfootnote1"/>
    <w:qFormat/>
    <w:basedOn w:val="para0"/>
    <w:pPr>
      <w:ind w:left="340" w:hanging="340"/>
      <w:spacing w:beforeAutospacing="1"/>
    </w:pPr>
    <w:rPr>
      <w:sz w:val="20"/>
      <w:szCs w:val="20"/>
    </w:rPr>
  </w:style>
  <w:style w:type="paragraph" w:styleId="para21" w:customStyle="1">
    <w:name w:val="Содержимое таблицы"/>
    <w:qFormat/>
    <w:basedOn w:val="para0"/>
    <w:pPr>
      <w:suppressLineNumbers/>
      <w:widowControl w:val="0"/>
    </w:pPr>
  </w:style>
  <w:style w:type="paragraph" w:styleId="para22" w:customStyle="1">
    <w:name w:val="Заголовок таблицы"/>
    <w:qFormat/>
    <w:basedOn w:val="para21"/>
    <w:pPr>
      <w:spacing/>
      <w:jc w:val="center"/>
    </w:pPr>
    <w:rPr>
      <w:b/>
      <w:bCs/>
    </w:rPr>
  </w:style>
  <w:style w:type="paragraph" w:styleId="para23">
    <w:name w:val="Body Text Indent"/>
    <w:qFormat/>
    <w:basedOn w:val="para0"/>
    <w:pPr>
      <w:ind w:left="283"/>
      <w:spacing w:after="120"/>
    </w:pPr>
  </w:style>
  <w:style w:type="paragraph" w:styleId="para24">
    <w:name w:val="No Spacing"/>
    <w:qFormat/>
    <w:pPr>
      <w:suppressAutoHyphens/>
      <w:hyphenationLines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25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sz w:val="28"/>
      <w:szCs w:val="28"/>
    </w:rPr>
  </w:style>
  <w:style w:type="character" w:styleId="char2" w:customStyle="1">
    <w:name w:val="Заголовок 8 Знак"/>
    <w:basedOn w:val="char0"/>
    <w:rPr>
      <w:rFonts w:ascii="Calibri" w:hAnsi="Calibri" w:eastAsia="Times New Roman" w:cs="Times New Roman"/>
      <w:i/>
      <w:iCs/>
      <w:sz w:val="24"/>
      <w:szCs w:val="24"/>
    </w:rPr>
  </w:style>
  <w:style w:type="character" w:styleId="char3" w:customStyle="1">
    <w:name w:val="Интернет-ссылка"/>
    <w:basedOn w:val="char0"/>
    <w:rPr>
      <w:color w:val="0000ff"/>
      <w:u w:color="ffffff" w:val="single"/>
    </w:rPr>
  </w:style>
  <w:style w:type="character" w:styleId="char4" w:customStyle="1">
    <w:name w:val="Верхний колонтитул Знак"/>
    <w:basedOn w:val="char0"/>
    <w:rPr>
      <w:rFonts w:ascii="Times New Roman" w:hAnsi="Times New Roman" w:eastAsia="Times New Roman" w:cs="Times New Roman"/>
      <w:kern w:val="1"/>
      <w:sz w:val="24"/>
      <w:szCs w:val="24"/>
      <w:lang w:eastAsia="zh-cn"/>
    </w:rPr>
  </w:style>
  <w:style w:type="character" w:styleId="char5" w:customStyle="1">
    <w:name w:val="x-ph__menu__button"/>
    <w:basedOn w:val="char0"/>
  </w:style>
  <w:style w:type="character" w:styleId="char6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7" w:customStyle="1">
    <w:name w:val="Символ концевой сноски"/>
  </w:style>
  <w:style w:type="character" w:styleId="char8" w:customStyle="1">
    <w:name w:val="Верхний колонтитул Знак1"/>
    <w:basedOn w:val="char0"/>
    <w:rPr>
      <w:rFonts w:ascii="Times New Roman" w:hAnsi="Times New Roman" w:eastAsia="Times New Roman"/>
      <w:kern w:val="1"/>
      <w:sz w:val="24"/>
      <w:szCs w:val="24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/>
      <w:kern w:val="1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Наталья Анатольевна</dc:creator>
  <cp:keywords/>
  <dc:description/>
  <cp:lastModifiedBy/>
  <cp:revision>12</cp:revision>
  <cp:lastPrinted>2022-03-03T15:27:44Z</cp:lastPrinted>
  <dcterms:created xsi:type="dcterms:W3CDTF">2022-03-03T12:04:00Z</dcterms:created>
  <dcterms:modified xsi:type="dcterms:W3CDTF">2022-03-21T09:10:11Z</dcterms:modified>
</cp:coreProperties>
</file>