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WUie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6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10.01.2024</w:t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2025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внесении изменений в постановление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>
              <w:rPr>
                <w:rFonts w:ascii="Times New Roman" w:hAnsi="Times New Roman"/>
                <w:color w:val="auto"/>
                <w:szCs w:val="28"/>
              </w:rPr>
              <w:t>02.11.2018 № 88</w:t>
            </w: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2025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 xml:space="preserve">Развитие физической культуры и спорта на территории </w:t>
      </w:r>
      <w:r>
        <w:rPr>
          <w:rFonts w:ascii="Times New Roman" w:hAnsi="Times New Roman"/>
          <w:color w:val="auto"/>
        </w:rPr>
        <w:t>Федосеевского</w:t>
      </w:r>
      <w:r>
        <w:rPr>
          <w:rFonts w:ascii="Times New Roman" w:hAnsi="Times New Roman"/>
          <w:color w:val="auto"/>
        </w:rPr>
        <w:t xml:space="preserve"> сельского поселения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r>
    </w:p>
    <w:p>
      <w:pPr>
        <w:numPr>
          <w:ilvl w:val="0"/>
          <w:numId w:val="1"/>
        </w:numPr>
        <w:ind w:left="0" w:firstLine="709"/>
        <w:spacing/>
        <w:jc w:val="left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в приложение к постановлению Администрации Федосеевского сельского поселения от 02.11.2018 № 88 «</w:t>
      </w:r>
      <w:r>
        <w:rPr>
          <w:rFonts w:ascii="Times New Roman" w:hAnsi="Times New Roman"/>
          <w:color w:val="auto"/>
        </w:rPr>
        <w:t xml:space="preserve">Об утверждении муниципальной программы Федосеевского сельского поселения «Развитие физической культуры и спорта на территории Федосеевского сельского поселения» </w:t>
      </w:r>
      <w:r>
        <w:rPr>
          <w:rFonts w:ascii="Times New Roman" w:hAnsi="Times New Roman"/>
          <w:color w:val="auto"/>
          <w:szCs w:val="28"/>
        </w:rPr>
        <w:t>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1"/>
        </w:numPr>
        <w:ind w:left="0" w:firstLine="709"/>
        <w:spacing/>
        <w:jc w:val="left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паспорт 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>Развитие физической культуры и спорта на территории Федосеевского сельского поселения</w:t>
      </w:r>
      <w:r>
        <w:rPr>
          <w:rFonts w:ascii="Times New Roman" w:hAnsi="Times New Roman"/>
          <w:color w:val="auto"/>
          <w:szCs w:val="28"/>
        </w:rPr>
        <w:t>» внести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Cs w:val="28"/>
        </w:rPr>
        <w:t xml:space="preserve">           пункт «Ресурсное обеспечение муниципальной программы» изложить в редакции:</w:t>
      </w:r>
      <w:r>
        <w:rPr>
          <w:rFonts w:ascii="Times New Roman" w:hAnsi="Times New Roman"/>
          <w:color w:val="auto"/>
          <w:sz w:val="20"/>
        </w:rPr>
      </w:r>
    </w:p>
    <w:tbl>
      <w:tblPr>
        <w:tblStyle w:val="NormalTable"/>
        <w:name w:val="Таблица2"/>
        <w:tabOrder w:val="0"/>
        <w:jc w:val="left"/>
        <w:tblInd w:w="-80" w:type="dxa"/>
        <w:tblW w:w="9747" w:type="dxa"/>
        <w:tblLook w:val="0000" w:firstRow="0" w:lastRow="0" w:firstColumn="0" w:lastColumn="0" w:noHBand="0" w:noVBand="0"/>
      </w:tblPr>
      <w:tblGrid>
        <w:gridCol w:w="77"/>
        <w:gridCol w:w="2998"/>
        <w:gridCol w:w="642"/>
        <w:gridCol w:w="6030"/>
      </w:tblGrid>
      <w:tr>
        <w:trPr>
          <w:cantSplit w:val="0"/>
          <w:trHeight w:val="0" w:hRule="auto"/>
        </w:trPr>
        <w:tc>
          <w:tcPr>
            <w:tcW w:w="77" w:type="dxa"/>
            <w:shd w:val="none"/>
            <w:tcMar>
              <w:left w:w="28" w:type="dxa"/>
              <w:right w:w="28" w:type="dxa"/>
            </w:tcMar>
            <w:tmTcPr id="1704872025" protected="0"/>
          </w:tcPr>
          <w:p>
            <w:pPr>
              <w:spacing/>
              <w:jc w:val="center"/>
              <w:suppressAutoHyphens/>
              <w:hyphenationLines w:val="0"/>
              <w:suppressLineNumbers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</w:r>
          </w:p>
        </w:tc>
        <w:tc>
          <w:tcPr>
            <w:tcW w:w="2998" w:type="dxa"/>
            <w:shd w:val="none"/>
            <w:tcMar>
              <w:left w:w="28" w:type="dxa"/>
              <w:right w:w="28" w:type="dxa"/>
            </w:tcMar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42" w:type="dxa"/>
            <w:shd w:val="none"/>
            <w:tcMar>
              <w:left w:w="28" w:type="dxa"/>
              <w:right w:w="28" w:type="dxa"/>
            </w:tcMar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030" w:type="dxa"/>
            <w:shd w:val="none"/>
            <w:tcMar>
              <w:left w:w="28" w:type="dxa"/>
              <w:right w:w="28" w:type="dxa"/>
            </w:tcMar>
            <w:tmTcPr id="1704872025" protected="0"/>
          </w:tcPr>
          <w:p>
            <w:pPr>
              <w:spacing w:line="257" w:lineRule="auto"/>
              <w:suppressAutoHyphens/>
              <w:hyphenationLines w:val="0"/>
              <w:tabs defTabSz="720">
                <w:tab w:val="left" w:pos="0" w:leader="none"/>
              </w:tabs>
              <w:rPr>
                <w:rFonts w:ascii="Times New Roman" w:hAnsi="Times New Roman"/>
                <w:color w:val="00b0f0"/>
                <w:kern w:val="1"/>
                <w:szCs w:val="28"/>
              </w:rPr>
            </w:pPr>
            <w:r>
              <w:rPr>
                <w:rFonts w:ascii="Times New Roman" w:hAnsi="Times New Roman"/>
                <w:color w:val="00b0f0"/>
                <w:kern w:val="1"/>
                <w:szCs w:val="28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9"/>
          <w:type w:val="nextPage"/>
          <w:pgSz w:h="16838" w:w="11906"/>
          <w:pgMar w:left="1701" w:top="1134" w:right="567" w:bottom="1134" w:header="0" w:footer="284"/>
          <w:paperSrc w:first="7" w:other="7" a="0" b="0"/>
          <w:pgNumType w:fmt="decimal" w:start="1"/>
          <w:titlePg/>
          <w:tmGutter w:val="3"/>
          <w:mirrorMargins w:val="0"/>
          <w:tmSection w:h="-1"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tblStyle w:val="NormalTable"/>
        <w:name w:val="Таблица3"/>
        <w:tabOrder w:val="0"/>
        <w:jc w:val="left"/>
        <w:tblInd w:w="0" w:type="dxa"/>
        <w:tblW w:w="9747" w:type="dxa"/>
        <w:tblLook w:val="0000" w:firstRow="0" w:lastRow="0" w:firstColumn="0" w:lastColumn="0" w:noHBand="0" w:noVBand="0"/>
      </w:tblPr>
      <w:tblGrid>
        <w:gridCol w:w="3369"/>
        <w:gridCol w:w="6378"/>
      </w:tblGrid>
      <w:tr>
        <w:trPr>
          <w:cantSplit w:val="0"/>
          <w:trHeight w:val="0" w:hRule="auto"/>
        </w:trPr>
        <w:tc>
          <w:tcPr>
            <w:tcW w:w="3369" w:type="dxa"/>
            <w:shd w:val="none"/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bCs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Федосеевского сельского поселения</w:t>
            </w: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</w:r>
          </w:p>
        </w:tc>
        <w:tc>
          <w:tcPr>
            <w:tcW w:w="6378" w:type="dxa"/>
            <w:shd w:val="none"/>
            <w:tmTcPr id="1704872025" protected="0"/>
          </w:tcPr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bCs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 xml:space="preserve">Общий объем финансирования программы составляет 213,5 тыс. рублей, 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2019 году – 24,5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2020 году – 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2021 году – 9,0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2022 году – 15,0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2023 году – 15,0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2024 году – 15,0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2025 году – 15,0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2026 году – 15,0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2027 году – 25,0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2028 году – 25,0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2028 году – 25,0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25,0 тыс. рублей»</w:t>
            </w:r>
            <w:r>
              <w:rPr>
                <w:rFonts w:ascii="Times New Roman" w:hAnsi="Times New Roman"/>
                <w:color w:val="auto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left="720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1"/>
        </w:numPr>
        <w:ind w:left="-142" w:firstLine="851"/>
        <w:spacing/>
        <w:jc w:val="left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паспорт подпрограммы «</w:t>
      </w:r>
      <w:r>
        <w:rPr>
          <w:rFonts w:ascii="Times New Roman" w:hAnsi="Times New Roman"/>
          <w:color w:val="auto"/>
          <w:kern w:val="1"/>
          <w:szCs w:val="28"/>
        </w:rPr>
        <w:t>Развитие физической культуры и массового спорта в Федосеевском сельском поселении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20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>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4"/>
        <w:tabOrder w:val="0"/>
        <w:jc w:val="left"/>
        <w:tblInd w:w="0" w:type="dxa"/>
        <w:tblW w:w="9853" w:type="dxa"/>
        <w:tblLook w:val="0000" w:firstRow="0" w:lastRow="0" w:firstColumn="0" w:lastColumn="0" w:noHBand="0" w:noVBand="0"/>
      </w:tblPr>
      <w:tblGrid>
        <w:gridCol w:w="3531"/>
        <w:gridCol w:w="6322"/>
      </w:tblGrid>
      <w:tr>
        <w:trPr>
          <w:cantSplit w:val="0"/>
          <w:trHeight w:val="0" w:hRule="auto"/>
        </w:trPr>
        <w:tc>
          <w:tcPr>
            <w:tcW w:w="3531" w:type="dxa"/>
            <w:shd w:val="none"/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«Ресурсное обеспечение подпрограммы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22" w:type="dxa"/>
            <w:shd w:val="none"/>
            <w:tmTcPr id="1704872025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bCs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 xml:space="preserve">Общий объем финансирования подпрограммы составляет 184,0 тыс. рублей, 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2019 году – 22,0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2020 году – 5,0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2021 году – 9,0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2022 году – 12,0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2023 году – 12,0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2024 году – 12,0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2025 году – 12,0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2026 году – 12,0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2027 году – 22,0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2028 году – 22,0 тыс. рублей;</w:t>
            </w:r>
          </w:p>
          <w:p>
            <w:pPr>
              <w:spacing w:line="228" w:lineRule="auto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2028 году – 22,0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22,0 тыс. рублей».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left="1429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1.3. В паспорт подпрограммы «</w:t>
      </w:r>
      <w:r>
        <w:rPr>
          <w:rFonts w:ascii="Times New Roman" w:hAnsi="Times New Roman"/>
          <w:color w:val="auto"/>
          <w:kern w:val="1"/>
          <w:szCs w:val="28"/>
        </w:rPr>
        <w:t>Развитие материальной базы и инфраструктуры спорта в Федосеевском сельском поселении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</w:p>
    <w:tbl>
      <w:tblPr>
        <w:tblStyle w:val="NormalTable"/>
        <w:name w:val="Таблица5"/>
        <w:tabOrder w:val="0"/>
        <w:jc w:val="left"/>
        <w:tblInd w:w="0" w:type="dxa"/>
        <w:tblW w:w="9780" w:type="dxa"/>
        <w:tblLook w:val="0000" w:firstRow="0" w:lastRow="0" w:firstColumn="0" w:lastColumn="0" w:noHBand="0" w:noVBand="0"/>
      </w:tblPr>
      <w:tblGrid>
        <w:gridCol w:w="2077"/>
        <w:gridCol w:w="1291"/>
        <w:gridCol w:w="6412"/>
      </w:tblGrid>
      <w:tr>
        <w:trPr>
          <w:cantSplit w:val="0"/>
          <w:trHeight w:val="3380" w:hRule="atLeast"/>
        </w:trPr>
        <w:tc>
          <w:tcPr>
            <w:tcW w:w="2077" w:type="dxa"/>
            <w:shd w:val="none"/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1291" w:type="dxa"/>
            <w:shd w:val="none"/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412" w:type="dxa"/>
            <w:shd w:val="none"/>
            <w:tmTcPr id="1704872025" protected="0"/>
          </w:tcPr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bCs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 xml:space="preserve">Общий объем финансирования подпрограммы составляет 29,5 тыс. рублей, 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Cs w:val="28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2019 году – 2,5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2020 году – 0,0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2021 году – 0,0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2022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2023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2024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2025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2026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2027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2028 году – 3,0 тыс. рублей;</w:t>
            </w:r>
          </w:p>
          <w:p>
            <w:pPr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2029 году – 3,0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3,0 тыс. рублей</w:t>
            </w:r>
            <w:r>
              <w:rPr>
                <w:rFonts w:ascii="Times New Roman" w:hAnsi="Times New Roman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firstLine="709"/>
        <w:suppressAutoHyphens/>
        <w:hyphenationLines w:val="0"/>
        <w:widowControl w:val="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1.4.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kern w:val="1"/>
          <w:szCs w:val="28"/>
        </w:rPr>
        <w:t xml:space="preserve">Развитие физической культуры и спорта на территории </w:t>
      </w:r>
      <w:r>
        <w:rPr>
          <w:rFonts w:ascii="Times New Roman" w:hAnsi="Times New Roman"/>
          <w:color w:val="auto"/>
          <w:kern w:val="1"/>
          <w:szCs w:val="28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» изложить в редакции согласно приложению № </w:t>
      </w:r>
      <w:r>
        <w:rPr>
          <w:rFonts w:ascii="Times New Roman" w:hAnsi="Times New Roman"/>
          <w:szCs w:val="28"/>
        </w:rPr>
        <w:t>1  к</w:t>
      </w:r>
      <w:r>
        <w:rPr>
          <w:rFonts w:ascii="Times New Roman" w:hAnsi="Times New Roman"/>
          <w:szCs w:val="28"/>
        </w:rPr>
        <w:t xml:space="preserve">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426" w:leader="none"/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1.5.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kern w:val="1"/>
          <w:szCs w:val="28"/>
        </w:rPr>
        <w:t xml:space="preserve">Развитие физической культуры и спорта на территории </w:t>
      </w:r>
      <w:r>
        <w:rPr>
          <w:rFonts w:ascii="Times New Roman" w:hAnsi="Times New Roman"/>
          <w:color w:val="auto"/>
          <w:kern w:val="1"/>
          <w:szCs w:val="28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» изложить в редакции согласно приложению № </w:t>
      </w:r>
      <w:r>
        <w:rPr>
          <w:rFonts w:ascii="Times New Roman" w:hAnsi="Times New Roman"/>
          <w:szCs w:val="28"/>
        </w:rPr>
        <w:t>2  к</w:t>
      </w:r>
      <w:r>
        <w:rPr>
          <w:rFonts w:ascii="Times New Roman" w:hAnsi="Times New Roman"/>
          <w:szCs w:val="28"/>
        </w:rPr>
        <w:t xml:space="preserve">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tabs defTabSz="720">
          <w:tab w:val="left" w:pos="567" w:leader="none"/>
          <w:tab w:val="left" w:pos="851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color w:val="auto"/>
          <w:szCs w:val="28"/>
        </w:rPr>
        <w:t>2. Постановление вступает в силу со дня его официального опубликования.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       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9"/>
        <w:spacing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Глава Администрации</w:t>
      </w:r>
    </w:p>
    <w:p>
      <w:pPr>
        <w:ind w:firstLine="709"/>
        <w:spacing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szCs w:val="28"/>
        </w:rPr>
        <w:t>Федосеевского сельского поселения                                     А.Р.Ткаченко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6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bCs/>
          <w:color w:val="auto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>бюджета сельского поселения 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</w:rPr>
        <w:t>Развитие физической культуры и спорта на территории Федосеевского сельского поселения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» </w:t>
      </w:r>
      <w:r>
        <w:rPr>
          <w:rFonts w:ascii="Times New Roman" w:hAnsi="Times New Roman"/>
          <w:bCs/>
          <w:color w:val="auto"/>
          <w:kern w:val="1"/>
          <w:szCs w:val="28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bCs/>
          <w:color w:val="auto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</w:r>
    </w:p>
    <w:tbl>
      <w:tblPr>
        <w:tblStyle w:val="NormalTable"/>
        <w:name w:val="Таблица6"/>
        <w:tabOrder w:val="0"/>
        <w:jc w:val="left"/>
        <w:tblInd w:w="-5" w:type="dxa"/>
        <w:tblW w:w="15472" w:type="dxa"/>
        <w:tblLook w:val="0000" w:firstRow="0" w:lastRow="0" w:firstColumn="0" w:lastColumn="0" w:noHBand="0" w:noVBand="0"/>
      </w:tblPr>
      <w:tblGrid>
        <w:gridCol w:w="1712"/>
        <w:gridCol w:w="1843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669"/>
        <w:gridCol w:w="749"/>
        <w:gridCol w:w="708"/>
        <w:gridCol w:w="709"/>
        <w:gridCol w:w="709"/>
        <w:gridCol w:w="709"/>
        <w:gridCol w:w="708"/>
        <w:gridCol w:w="719"/>
      </w:tblGrid>
      <w:tr>
        <w:trPr>
          <w:cantSplit w:val="0"/>
          <w:trHeight w:val="0" w:hRule="auto"/>
        </w:trPr>
        <w:tc>
          <w:tcPr>
            <w:tcW w:w="171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расхо-дов, всего</w:t>
            </w:r>
          </w:p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w="8515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годам реализации муниципальной программы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1843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709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295" w:hRule="atLeast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Муниципальная программа Федосеевского сельского поселения «Развитие физической культуры и спорта на территории Федосеевского сельского поселения»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                                            в том числе: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Администрация Федосеевского сельского поселения;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«Развитие физической культуры и массового спорта в Федосеевском сельском поселении» 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1.1.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Физическое воспитание населения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Федосеевского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сельского поселения и обеспечение организации и проведения физкультурных и массовых мероприятий.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Проведение спортивных праздников посвященных знаменательным датам и участие команд Федосеевского сельского поселения в районных, зональных и областных соревнованиях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Администрация Федосеевского сельского поселения;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951 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0610026190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Развитие материальной базы и инфраструктуры спорта в Федосеевском сельском поселении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2.1. </w:t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Строительство и реконструкция спортивных объектов Федосеевского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7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2.2.</w:t>
              <w:br w:type="textWrapping"/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Приобретение </w:t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спортинвентаря,  и</w:t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 спортивной формы для сборной команды </w:t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Федосеевского</w:t>
            </w: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951</w:t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0620026200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66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Примечание.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Используемые сокращения: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муниципальная программа – муниципальная программа Федосеевского сельского поселения «Развитие физической культуры и спорта на территории Федосеевского сельского поселения»;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ГРБС – главный распорядитель бюджетных средств;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РзПр – раздел, подраздел;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ЦСР – целевая статья расходов;</w:t>
      </w:r>
    </w:p>
    <w:p>
      <w:pPr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           ВР – вид расходов.</w:t>
      </w:r>
      <w:r>
        <w:rPr>
          <w:rFonts w:ascii="Times New Roman" w:hAnsi="Times New Roman"/>
          <w:color w:val="auto"/>
          <w:szCs w:val="28"/>
        </w:rPr>
      </w:r>
    </w:p>
    <w:p>
      <w:pPr>
        <w:spacing/>
        <w:jc w:val="left"/>
        <w:suppressAutoHyphens/>
        <w:hyphenationLines w:val="0"/>
        <w:widowControl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Cs w:val="28"/>
        </w:rPr>
        <w:t xml:space="preserve">        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6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 w:eastAsia="Calibri"/>
          <w:kern w:val="1"/>
          <w:szCs w:val="28"/>
        </w:rPr>
      </w:pPr>
      <w:r>
        <w:rPr>
          <w:rFonts w:ascii="Times New Roman" w:hAnsi="Times New Roman" w:eastAsia="Calibri"/>
          <w:kern w:val="1"/>
          <w:szCs w:val="28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</w:rPr>
        <w:t>Развитие физической культуры и спорта на территории Федосеевского сельского поселения</w:t>
      </w:r>
      <w:r>
        <w:rPr>
          <w:rFonts w:ascii="Times New Roman" w:hAnsi="Times New Roman" w:eastAsia="Calibri"/>
          <w:kern w:val="1"/>
          <w:szCs w:val="28"/>
        </w:rPr>
        <w:t>»</w:t>
      </w:r>
      <w:r>
        <w:rPr>
          <w:rFonts w:ascii="Times New Roman" w:hAnsi="Times New Roman" w:eastAsia="Calibri"/>
          <w:kern w:val="1"/>
          <w:szCs w:val="28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7"/>
        <w:tabOrder w:val="0"/>
        <w:jc w:val="left"/>
        <w:tblInd w:w="194" w:type="dxa"/>
        <w:tblW w:w="15173" w:type="dxa"/>
        <w:tblLook w:val="0000" w:firstRow="0" w:lastRow="0" w:firstColumn="0" w:lastColumn="0" w:noHBand="0" w:noVBand="0"/>
      </w:tblPr>
      <w:tblGrid>
        <w:gridCol w:w="3101"/>
        <w:gridCol w:w="2098"/>
        <w:gridCol w:w="686"/>
        <w:gridCol w:w="772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784"/>
      </w:tblGrid>
      <w:tr>
        <w:trPr>
          <w:tblHeader/>
          <w:cantSplit w:val="0"/>
          <w:trHeight w:val="0" w:hRule="auto"/>
        </w:trPr>
        <w:tc>
          <w:tcPr>
            <w:tcW w:w="3101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098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Источники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финансирования</w:t>
            </w:r>
          </w:p>
        </w:tc>
        <w:tc>
          <w:tcPr>
            <w:tcW w:w="686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Объем расхо-дов, всего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(тыс. руб.)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9288" w:type="dxa"/>
            <w:gridSpan w:val="1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1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098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686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left="4338"/>
        <w:spacing w:line="209" w:lineRule="auto"/>
        <w:jc w:val="left"/>
        <w:suppressAutoHyphens/>
        <w:hyphenationLines w:val="0"/>
        <w:rPr>
          <w:rFonts w:ascii="Times New Roman" w:hAnsi="Times New Roman"/>
          <w:color w:val="auto"/>
          <w:sz w:val="2"/>
          <w:szCs w:val="2"/>
        </w:rPr>
      </w:pPr>
      <w:r>
        <w:rPr>
          <w:rFonts w:ascii="Times New Roman" w:hAnsi="Times New Roman"/>
          <w:color w:val="auto"/>
          <w:sz w:val="2"/>
          <w:szCs w:val="2"/>
        </w:rPr>
      </w:r>
    </w:p>
    <w:tbl>
      <w:tblPr>
        <w:tblStyle w:val="NormalTable"/>
        <w:name w:val="Таблица8"/>
        <w:tabOrder w:val="0"/>
        <w:jc w:val="left"/>
        <w:tblInd w:w="194" w:type="dxa"/>
        <w:tblW w:w="15173" w:type="dxa"/>
        <w:tblLook w:val="0000" w:firstRow="0" w:lastRow="0" w:firstColumn="0" w:lastColumn="0" w:noHBand="0" w:noVBand="0"/>
      </w:tblPr>
      <w:tblGrid>
        <w:gridCol w:w="3117"/>
        <w:gridCol w:w="2106"/>
        <w:gridCol w:w="663"/>
        <w:gridCol w:w="772"/>
        <w:gridCol w:w="772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784"/>
      </w:tblGrid>
      <w:tr>
        <w:trPr>
          <w:tblHeader/>
          <w:cantSplit w:val="0"/>
          <w:trHeight w:val="260" w:hRule="atLeast"/>
        </w:trPr>
        <w:tc>
          <w:tcPr>
            <w:tcW w:w="311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7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8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11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12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13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77" w:hRule="atLeast"/>
        </w:trPr>
        <w:tc>
          <w:tcPr>
            <w:tcW w:w="311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Муниципальная программа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«Развитие физической культуры и спорта на территории Федосеевского сельского поселения»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213,5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213,5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66" w:hRule="atLeast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Подпрограмма 1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Развитие физической культуры и массового спорта в Федосеевском сельском поселении</w:t>
            </w:r>
            <w:r>
              <w:rPr>
                <w:rFonts w:ascii="Times New Roman" w:hAnsi="Times New Roman"/>
                <w:color w:val="auto"/>
                <w:sz w:val="20"/>
              </w:rPr>
              <w:t>»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Подпрограмма 2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Развитие материальной базы и инфраструктуры спорта в Федосеевском сельском поселении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»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11" w:right="-63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</w:t>
            </w:r>
          </w:p>
        </w:tc>
        <w:tc>
          <w:tcPr>
            <w:tcW w:w="77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7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  <w:tc>
          <w:tcPr>
            <w:tcW w:w="78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</w:t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/>
        </w:tc>
        <w:tc>
          <w:tcPr>
            <w:tcW w:w="210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spacing/>
              <w:jc w:val="left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2025" protected="0"/>
          </w:tcPr>
          <w:p>
            <w:pPr>
              <w:ind w:left="-57" w:right="-5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footerReference w:type="default" r:id="rId13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right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26"/>
      <w:ind w:right="360"/>
      <w:spacing/>
      <w:jc w:val="right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  <w:p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9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614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88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487202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2024-01-10T07:33:55Z</cp:lastPrinted>
  <dcterms:created xsi:type="dcterms:W3CDTF">2023-06-21T08:31:00Z</dcterms:created>
  <dcterms:modified xsi:type="dcterms:W3CDTF">2024-01-10T07:33:45Z</dcterms:modified>
</cp:coreProperties>
</file>