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u w:color="ffffff" w:val="single"/>
        </w:rPr>
      </w:pPr>
      <w:r>
        <w:t>Сведения о доходах, расходах, имуществе и обязательствах имущественного характера Главы  Администрации Федосеевского сельского поселения с 01.01.2021 по 31.01.2021 год</w:t>
      </w:r>
      <w:r>
        <w:rPr>
          <w:u w:color="ffffff" w:val="single"/>
        </w:rPr>
      </w:r>
    </w:p>
    <w:p>
      <w:pPr>
        <w:spacing/>
        <w:jc w:val="center"/>
      </w:pPr>
      <w:r/>
    </w:p>
    <w:tbl>
      <w:tblPr>
        <w:tblStyle w:val="NormalTable"/>
        <w:name w:val="Таблица1"/>
        <w:tabOrder w:val="0"/>
        <w:jc w:val="left"/>
        <w:tblInd w:w="0" w:type="dxa"/>
        <w:tblW w:w="14490" w:type="dxa"/>
        <w:tblLook w:val="01E0" w:firstRow="1" w:lastRow="1" w:firstColumn="1" w:lastColumn="1" w:noHBand="0" w:noVBand="0"/>
      </w:tblPr>
      <w:tblGrid>
        <w:gridCol w:w="1585"/>
        <w:gridCol w:w="1639"/>
        <w:gridCol w:w="1951"/>
        <w:gridCol w:w="1317"/>
        <w:gridCol w:w="1542"/>
        <w:gridCol w:w="1410"/>
        <w:gridCol w:w="1913"/>
        <w:gridCol w:w="1272"/>
        <w:gridCol w:w="1861"/>
      </w:tblGrid>
      <w:tr>
        <w:trPr>
          <w:tblHeader w:val="0"/>
          <w:cantSplit w:val="0"/>
          <w:trHeight w:val="0" w:hRule="auto"/>
        </w:trPr>
        <w:tc>
          <w:tcPr>
            <w:tcW w:w="15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6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Деклариро-ванный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годовой 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доход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2021 год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622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/>
        </w:tc>
        <w:tc>
          <w:tcPr>
            <w:tcW w:w="16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/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объектов недвижимости</w:t>
            </w:r>
          </w:p>
        </w:tc>
        <w:tc>
          <w:tcPr>
            <w:tcW w:w="13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(кв.м)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Страна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расположе-ния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Транс-портные средства</w:t>
            </w:r>
          </w:p>
        </w:tc>
        <w:tc>
          <w:tcPr>
            <w:tcW w:w="19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(кв.м.)</w:t>
            </w:r>
          </w:p>
        </w:tc>
        <w:tc>
          <w:tcPr>
            <w:tcW w:w="186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/>
        </w:tc>
      </w:tr>
      <w:tr>
        <w:trPr>
          <w:tblHeader w:val="0"/>
          <w:cantSplit w:val="0"/>
          <w:trHeight w:val="1350" w:hRule="atLeast"/>
        </w:trPr>
        <w:tc>
          <w:tcPr>
            <w:tcW w:w="158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Ткаченко Алексей Русланович</w:t>
            </w:r>
          </w:p>
        </w:tc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790663,56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для ведения ЛПХ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1/73 от 3328800,0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7300,0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Хёндэ </w:t>
            </w:r>
            <w:r>
              <w:rPr>
                <w:sz w:val="20"/>
                <w:szCs w:val="20"/>
                <w:lang w:val="en-us"/>
              </w:rPr>
              <w:t>accent</w:t>
            </w:r>
            <w:r>
              <w:rPr>
                <w:sz w:val="20"/>
                <w:szCs w:val="20"/>
              </w:rPr>
              <w:t xml:space="preserve">  2008 г.</w:t>
            </w:r>
          </w:p>
        </w:tc>
        <w:tc>
          <w:tcPr>
            <w:tcW w:w="19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8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444504,10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земельная доля    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1/73 от 3328800,0 </w:t>
            </w:r>
          </w:p>
          <w:p>
            <w:pPr>
              <w:spacing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1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для ведения ЛПХ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7300,0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  <w:rPr>
          <w:u w:color="ffffff" w:val="single"/>
        </w:rPr>
      </w:pPr>
      <w:r>
        <w:t>Сведения о доходах, расходах имуществе и обязательствах имущественного характера главного специалиста по общим вопросам Администрации  Федосеевского сельского поселения с 01.01.2021 по 31.01.2021 год</w:t>
      </w:r>
      <w:r>
        <w:rPr>
          <w:u w:color="ffffff" w:val="single"/>
        </w:rPr>
      </w:r>
    </w:p>
    <w:p>
      <w:pPr>
        <w:spacing/>
        <w:jc w:val="center"/>
      </w:pPr>
      <w:r/>
    </w:p>
    <w:tbl>
      <w:tblPr>
        <w:tblStyle w:val="NormalTable"/>
        <w:name w:val="Таблица2"/>
        <w:tabOrder w:val="0"/>
        <w:jc w:val="left"/>
        <w:tblInd w:w="0" w:type="dxa"/>
        <w:tblW w:w="14500" w:type="dxa"/>
        <w:tblLook w:val="01E0" w:firstRow="1" w:lastRow="1" w:firstColumn="1" w:lastColumn="1" w:noHBand="0" w:noVBand="0"/>
      </w:tblPr>
      <w:tblGrid>
        <w:gridCol w:w="1579"/>
        <w:gridCol w:w="1628"/>
        <w:gridCol w:w="1947"/>
        <w:gridCol w:w="1310"/>
        <w:gridCol w:w="1489"/>
        <w:gridCol w:w="1522"/>
        <w:gridCol w:w="1909"/>
        <w:gridCol w:w="1255"/>
        <w:gridCol w:w="1861"/>
      </w:tblGrid>
      <w:tr>
        <w:trPr>
          <w:tblHeader w:val="0"/>
          <w:cantSplit w:val="0"/>
          <w:trHeight w:val="1621" w:hRule="atLeast"/>
        </w:trPr>
        <w:tc>
          <w:tcPr>
            <w:tcW w:w="15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Ф.И.О</w:t>
            </w:r>
          </w:p>
        </w:tc>
        <w:tc>
          <w:tcPr>
            <w:tcW w:w="162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Деклариро-ванный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годовой 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доход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2021 год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626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/>
        </w:tc>
        <w:tc>
          <w:tcPr>
            <w:tcW w:w="162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/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объектов недвижимости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(кв.м)</w:t>
            </w:r>
          </w:p>
        </w:tc>
        <w:tc>
          <w:tcPr>
            <w:tcW w:w="14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rPr>
                <w:sz w:val="20"/>
              </w:rPr>
            </w:pPr>
            <w:r>
              <w:rPr>
                <w:sz w:val="20"/>
              </w:rPr>
              <w:t>Страна расположе-ния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Транс-портные средства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(кв.м.)</w:t>
            </w:r>
          </w:p>
        </w:tc>
        <w:tc>
          <w:tcPr>
            <w:tcW w:w="1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blHeader w:val="0"/>
          <w:cantSplit w:val="0"/>
          <w:trHeight w:val="1350" w:hRule="atLeast"/>
        </w:trPr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Бардыкова Лидия Васильевна</w:t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578618,78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1/21 от 9576000,0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  для ведения ЛПХ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60.2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5188,0</w:t>
            </w:r>
          </w:p>
        </w:tc>
        <w:tc>
          <w:tcPr>
            <w:tcW w:w="1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965895,52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4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  для ведения ЛПХ </w:t>
            </w:r>
          </w:p>
          <w:p>
            <w:pPr/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3/21 от 9576000,0</w:t>
            </w:r>
          </w:p>
          <w:p>
            <w:pPr>
              <w:spacing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</w:r>
          </w:p>
          <w:p>
            <w:pPr>
              <w:ind w:left="-12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5188,0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793,0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ind w:left="-120"/>
              <w:spacing w:after="24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</w:r>
          </w:p>
          <w:p>
            <w:pPr>
              <w:ind w:left="-12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ind w:left="-12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60.2</w:t>
            </w:r>
          </w:p>
          <w:p>
            <w:pPr>
              <w:ind w:left="-120"/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  <w:tc>
          <w:tcPr>
            <w:tcW w:w="148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/>
            <w:r/>
          </w:p>
          <w:p>
            <w:pPr/>
            <w:r/>
          </w:p>
          <w:p>
            <w:pPr/>
            <w:r/>
          </w:p>
          <w:p>
            <w:pPr/>
            <w:r/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/>
            <w:r/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MAZDA C</w:t>
            </w:r>
            <w:r>
              <w:rPr>
                <w:sz w:val="20"/>
                <w:szCs w:val="20"/>
              </w:rPr>
              <w:t>Х-5</w:t>
            </w:r>
            <w:r>
              <w:rPr>
                <w:sz w:val="20"/>
                <w:szCs w:val="20"/>
                <w:lang w:val="en-us"/>
              </w:rPr>
            </w:r>
          </w:p>
          <w:p>
            <w:pPr>
              <w: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2019 года</w:t>
            </w: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5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  <w:rPr>
          <w:u w:color="ffffff" w:val="single"/>
        </w:rPr>
      </w:pPr>
      <w:r>
        <w:t>Сведения о доходах, расходах имуществе и обязательствах имущественного характера главного специалиста по  вопросам мобилизационной подготовки, предупреждению чрезвычайных ситуаций, обеспечения пожарной безопасности, делам молодежи и спорта Администрации Федосеевского сельского поселения с 01.01.2021 по 31.01.2021 год</w:t>
      </w:r>
      <w:r>
        <w:rPr>
          <w:u w:color="ffffff" w:val="single"/>
        </w:rPr>
      </w:r>
    </w:p>
    <w:p>
      <w:pPr>
        <w:spacing/>
        <w:jc w:val="center"/>
      </w:pPr>
      <w:r/>
    </w:p>
    <w:tbl>
      <w:tblPr>
        <w:tblStyle w:val="NormalTable"/>
        <w:name w:val="Таблица3"/>
        <w:tabOrder w:val="0"/>
        <w:jc w:val="left"/>
        <w:tblInd w:w="0" w:type="dxa"/>
        <w:tblW w:w="14782" w:type="dxa"/>
        <w:tblLook w:val="01E0" w:firstRow="1" w:lastRow="1" w:firstColumn="1" w:lastColumn="1" w:noHBand="0" w:noVBand="0"/>
      </w:tblPr>
      <w:tblGrid>
        <w:gridCol w:w="1720"/>
        <w:gridCol w:w="1735"/>
        <w:gridCol w:w="1958"/>
        <w:gridCol w:w="1358"/>
        <w:gridCol w:w="1503"/>
        <w:gridCol w:w="1551"/>
        <w:gridCol w:w="1857"/>
        <w:gridCol w:w="1240"/>
        <w:gridCol w:w="1860"/>
      </w:tblGrid>
      <w:tr>
        <w:trPr>
          <w:tblHeader w:val="0"/>
          <w:cantSplit w:val="0"/>
          <w:trHeight w:val="0" w:hRule="auto"/>
        </w:trPr>
        <w:tc>
          <w:tcPr>
            <w:tcW w:w="172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Ф.И.О</w:t>
            </w:r>
          </w:p>
        </w:tc>
        <w:tc>
          <w:tcPr>
            <w:tcW w:w="17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Деклариро-ванный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годовой 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доход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2021 год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63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72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/>
        </w:tc>
        <w:tc>
          <w:tcPr>
            <w:tcW w:w="17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/>
        </w:tc>
        <w:tc>
          <w:tcPr>
            <w:tcW w:w="19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объектов недвижимости</w:t>
            </w: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(кв.м)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Страна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расположе-ния</w:t>
            </w:r>
          </w:p>
        </w:tc>
        <w:tc>
          <w:tcPr>
            <w:tcW w:w="15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Транс-портные средства</w:t>
            </w:r>
          </w:p>
        </w:tc>
        <w:tc>
          <w:tcPr>
            <w:tcW w:w="18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(кв.м.)</w:t>
            </w:r>
          </w:p>
        </w:tc>
        <w:tc>
          <w:tcPr>
            <w:tcW w:w="18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/>
        </w:tc>
      </w:tr>
      <w:tr>
        <w:trPr>
          <w:tblHeader w:val="0"/>
          <w:cantSplit w:val="0"/>
          <w:trHeight w:val="1350" w:hRule="atLeast"/>
        </w:trPr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Осичкина Ольга Владимировна</w:t>
            </w:r>
          </w:p>
        </w:tc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401676,05</w:t>
            </w:r>
          </w:p>
        </w:tc>
        <w:tc>
          <w:tcPr>
            <w:tcW w:w="19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1/4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64.4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72.3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1342,0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7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3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395260,49</w:t>
            </w:r>
          </w:p>
        </w:tc>
        <w:tc>
          <w:tcPr>
            <w:tcW w:w="19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земельная доля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ЛПХ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 от 31920000,0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1342,0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72.3</w:t>
            </w:r>
            <w:r>
              <w:rPr>
                <w:sz w:val="20"/>
                <w:szCs w:val="20"/>
                <w:vertAlign w:val="superscript"/>
              </w:rPr>
            </w:r>
          </w:p>
        </w:tc>
        <w:tc>
          <w:tcPr>
            <w:tcW w:w="15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 ВАЗ-21101</w:t>
            </w: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110</w:t>
            </w:r>
            <w:r>
              <w:rPr>
                <w:sz w:val="20"/>
                <w:szCs w:val="20"/>
                <w:lang w:val="en-us"/>
              </w:rPr>
            </w:r>
          </w:p>
          <w:p>
            <w:pPr>
              <w: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2006 </w:t>
            </w:r>
            <w:r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  <w:rPr>
          <w:u w:color="ffffff" w:val="single"/>
        </w:rPr>
      </w:pPr>
      <w:r>
        <w:t>Сведения о доходах, расходах имуществе и обязательствах имущественного характера  специалиста первой категории по вопросам муниципального хозяйства Администрации Федосеевского сельского поселения с 01.01.2021 по 31.01.2021 год</w:t>
      </w:r>
      <w:r>
        <w:rPr>
          <w:u w:color="ffffff" w:val="single"/>
        </w:rPr>
      </w:r>
    </w:p>
    <w:p>
      <w:pPr>
        <w:spacing/>
        <w:jc w:val="center"/>
      </w:pPr>
      <w:r/>
    </w:p>
    <w:tbl>
      <w:tblPr>
        <w:tblStyle w:val="NormalTable"/>
        <w:name w:val="Таблица4"/>
        <w:tabOrder w:val="0"/>
        <w:jc w:val="left"/>
        <w:tblInd w:w="0" w:type="dxa"/>
        <w:tblW w:w="14783" w:type="dxa"/>
        <w:tblLook w:val="01E0" w:firstRow="1" w:lastRow="1" w:firstColumn="1" w:lastColumn="1" w:noHBand="0" w:noVBand="0"/>
      </w:tblPr>
      <w:tblGrid>
        <w:gridCol w:w="1579"/>
        <w:gridCol w:w="1712"/>
        <w:gridCol w:w="1945"/>
        <w:gridCol w:w="1395"/>
        <w:gridCol w:w="1676"/>
        <w:gridCol w:w="1526"/>
        <w:gridCol w:w="1857"/>
        <w:gridCol w:w="1230"/>
        <w:gridCol w:w="1863"/>
      </w:tblGrid>
      <w:tr>
        <w:trPr>
          <w:tblHeader w:val="0"/>
          <w:cantSplit w:val="0"/>
          <w:trHeight w:val="0" w:hRule="auto"/>
        </w:trPr>
        <w:tc>
          <w:tcPr>
            <w:tcW w:w="15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Ф.И.О</w:t>
            </w:r>
          </w:p>
        </w:tc>
        <w:tc>
          <w:tcPr>
            <w:tcW w:w="17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Деклариро-ванный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годовой 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доход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2021 год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654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7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/>
        </w:tc>
        <w:tc>
          <w:tcPr>
            <w:tcW w:w="17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/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 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объектов недвижимости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(кв.м)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Страна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расположения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Транс-портные средства</w:t>
            </w:r>
          </w:p>
        </w:tc>
        <w:tc>
          <w:tcPr>
            <w:tcW w:w="18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Площадь</w:t>
            </w:r>
          </w:p>
          <w:p>
            <w:pPr>
              <w:spacing/>
              <w:jc w:val="center"/>
              <w:rPr>
                <w:sz w:val="20"/>
              </w:rPr>
            </w:pPr>
            <w:r>
              <w:rPr>
                <w:sz w:val="20"/>
              </w:rPr>
              <w:t>(кв.м.)</w:t>
            </w:r>
          </w:p>
        </w:tc>
        <w:tc>
          <w:tcPr>
            <w:tcW w:w="186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/>
        </w:tc>
      </w:tr>
      <w:tr>
        <w:trPr>
          <w:tblHeader w:val="0"/>
          <w:cantSplit w:val="0"/>
          <w:trHeight w:val="1350" w:hRule="atLeast"/>
        </w:trPr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Лященко Анна Евгеньевна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284264,97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для ведения ЛПХ 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8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7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для ведения ЛПХ </w:t>
            </w:r>
          </w:p>
        </w:tc>
        <w:tc>
          <w:tcPr>
            <w:tcW w:w="1230" w:type="dxa"/>
            <w:shd w:val="none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18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>
        <w:t xml:space="preserve">Сведения о доходах, расходах заведующего сектором экономики и финансов Администрации Федосеевского сельского поселения </w:t>
      </w:r>
    </w:p>
    <w:p>
      <w:pPr>
        <w:spacing/>
        <w:jc w:val="center"/>
        <w:rPr>
          <w:u w:color="ffffff" w:val="single"/>
        </w:rPr>
      </w:pPr>
      <w:r>
        <w:t>с 01.01.2021 по 31.01.2021 год</w:t>
      </w:r>
      <w:r>
        <w:rPr>
          <w:u w:color="ffffff" w:val="single"/>
        </w:rPr>
      </w:r>
    </w:p>
    <w:tbl>
      <w:tblPr>
        <w:tblStyle w:val="NormalTable"/>
        <w:name w:val="Таблица5"/>
        <w:tabOrder w:val="0"/>
        <w:jc w:val="left"/>
        <w:tblInd w:w="0" w:type="dxa"/>
        <w:tblW w:w="14782" w:type="dxa"/>
        <w:tblLook w:val="01E0" w:firstRow="1" w:lastRow="1" w:firstColumn="1" w:lastColumn="1" w:noHBand="0" w:noVBand="0"/>
      </w:tblPr>
      <w:tblGrid>
        <w:gridCol w:w="1515"/>
        <w:gridCol w:w="1625"/>
        <w:gridCol w:w="1883"/>
        <w:gridCol w:w="1694"/>
        <w:gridCol w:w="1677"/>
        <w:gridCol w:w="1496"/>
        <w:gridCol w:w="1820"/>
        <w:gridCol w:w="1212"/>
        <w:gridCol w:w="1860"/>
      </w:tblGrid>
      <w:tr>
        <w:trPr>
          <w:tblHeader w:val="0"/>
          <w:cantSplit w:val="0"/>
          <w:trHeight w:val="0" w:hRule="auto"/>
        </w:trPr>
        <w:tc>
          <w:tcPr>
            <w:tcW w:w="15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</w:t>
            </w:r>
          </w:p>
        </w:tc>
        <w:tc>
          <w:tcPr>
            <w:tcW w:w="162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Деклариро-ванный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2021 год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675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/>
        </w:tc>
        <w:tc>
          <w:tcPr>
            <w:tcW w:w="162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/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недвижимости</w:t>
            </w: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Транс-портные средства</w:t>
            </w:r>
          </w:p>
        </w:tc>
        <w:tc>
          <w:tcPr>
            <w:tcW w:w="18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8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/>
        </w:tc>
      </w:tr>
      <w:tr>
        <w:trPr>
          <w:tblHeader w:val="0"/>
          <w:cantSplit w:val="0"/>
          <w:trHeight w:val="1350" w:hRule="atLeast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Низева Татьяна Руслановна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498988,15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 (4/75)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190,3 (4/75)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АКЦЕНТ, 2007г.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НИВА,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 г.</w:t>
            </w:r>
          </w:p>
        </w:tc>
        <w:tc>
          <w:tcPr>
            <w:tcW w:w="18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2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47.9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1210.0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>
          <w:tblHeader w:val="0"/>
          <w:cantSplit w:val="0"/>
          <w:trHeight w:val="1684" w:hRule="atLeast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697806,53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1210,0 </w:t>
            </w:r>
          </w:p>
          <w:p>
            <w:pPr>
              <w:spacing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47.9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 (4/75)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190,3 (4/75)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легковому автомобилю САЗ 82994, 2014 г.</w:t>
            </w:r>
          </w:p>
        </w:tc>
        <w:tc>
          <w:tcPr>
            <w:tcW w:w="18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3763,12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 (4/75)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190,3 (4/75)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2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1210.0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>
          <w:tblHeader w:val="0"/>
          <w:cantSplit w:val="0"/>
          <w:trHeight w:val="70" w:hRule="atLeast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2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8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9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 (4/75)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190,3 (4/75)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21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47.9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1210.0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r/>
    </w:p>
    <w:p>
      <w:pPr>
        <w:spacing/>
        <w:jc w:val="center"/>
        <w:rPr>
          <w:u w:color="ffffff" w:val="single"/>
        </w:rPr>
      </w:pPr>
      <w:r>
        <w:rPr>
          <w:u w:color="ffffff" w:val="single"/>
        </w:rPr>
      </w:r>
    </w:p>
    <w:p>
      <w:pPr>
        <w:spacing/>
        <w:jc w:val="center"/>
        <w:rPr>
          <w:u w:color="ffffff" w:val="single"/>
        </w:rPr>
      </w:pPr>
      <w:r>
        <w:rPr>
          <w:u w:color="ffffff" w:val="single"/>
        </w:rPr>
      </w:r>
    </w:p>
    <w:p>
      <w:pPr>
        <w:spacing/>
        <w:jc w:val="center"/>
        <w:rPr>
          <w:u w:color="ffffff" w:val="single"/>
        </w:rPr>
      </w:pPr>
      <w:r>
        <w:rPr>
          <w:u w:color="ffffff" w:val="single"/>
        </w:rPr>
      </w:r>
    </w:p>
    <w:p>
      <w:pPr>
        <w:spacing/>
        <w:jc w:val="center"/>
        <w:rPr>
          <w:u w:color="ffffff" w:val="single"/>
        </w:rPr>
      </w:pPr>
      <w:r>
        <w:rPr>
          <w:u w:color="ffffff" w:val="single"/>
        </w:rPr>
      </w:r>
    </w:p>
    <w:p>
      <w:pPr>
        <w:spacing/>
        <w:jc w:val="center"/>
        <w:rPr>
          <w:u w:color="ffffff" w:val="single"/>
        </w:rPr>
      </w:pPr>
      <w:r>
        <w:rPr>
          <w:u w:color="ffffff" w:val="single"/>
        </w:rPr>
      </w:r>
    </w:p>
    <w:p>
      <w:pPr>
        <w:spacing/>
        <w:jc w:val="center"/>
        <w:rPr>
          <w:u w:color="ffffff" w:val="single"/>
        </w:rPr>
      </w:pPr>
      <w:r>
        <w:rPr>
          <w:u w:color="ffffff" w:val="single"/>
        </w:rPr>
      </w:r>
    </w:p>
    <w:p>
      <w:pPr>
        <w:spacing/>
        <w:jc w:val="center"/>
        <w:rPr>
          <w:u w:color="ffffff" w:val="single"/>
        </w:rPr>
      </w:pPr>
      <w:r>
        <w:rPr>
          <w:u w:color="ffffff" w:val="single"/>
        </w:rPr>
      </w:r>
    </w:p>
    <w:p>
      <w:pPr>
        <w:spacing/>
        <w:jc w:val="center"/>
        <w:rPr>
          <w:u w:color="ffffff" w:val="single"/>
        </w:rPr>
      </w:pPr>
      <w:r>
        <w:rPr>
          <w:u w:color="ffffff" w:val="single"/>
        </w:rPr>
      </w:r>
    </w:p>
    <w:p>
      <w:pPr>
        <w:spacing/>
        <w:jc w:val="center"/>
        <w:rPr>
          <w:u w:color="ffffff" w:val="single"/>
        </w:rPr>
      </w:pPr>
      <w:r>
        <w:rPr>
          <w:u w:color="ffffff" w:val="single"/>
        </w:rPr>
      </w:r>
    </w:p>
    <w:p>
      <w:pPr>
        <w:spacing/>
        <w:jc w:val="center"/>
        <w:rPr>
          <w:u w:color="ffffff" w:val="single"/>
        </w:rPr>
      </w:pPr>
      <w:r>
        <w:rPr>
          <w:u w:color="ffffff" w:val="single"/>
        </w:rPr>
      </w:r>
    </w:p>
    <w:p>
      <w:pPr>
        <w:spacing/>
        <w:jc w:val="center"/>
        <w:rPr>
          <w:u w:color="ffffff" w:val="single"/>
        </w:rPr>
      </w:pPr>
      <w:r>
        <w:rPr>
          <w:u w:color="ffffff" w:val="single"/>
        </w:rPr>
      </w:r>
    </w:p>
    <w:p>
      <w:pPr>
        <w:spacing/>
        <w:jc w:val="center"/>
        <w:rPr>
          <w:u w:color="ffffff" w:val="single"/>
        </w:rPr>
      </w:pPr>
      <w:r>
        <w:rPr>
          <w:u w:color="ffffff" w:val="single"/>
        </w:rPr>
      </w:r>
    </w:p>
    <w:p>
      <w:pPr>
        <w:spacing/>
        <w:jc w:val="center"/>
        <w:rPr>
          <w:u w:color="ffffff" w:val="single"/>
        </w:rPr>
      </w:pPr>
      <w:r>
        <w:rPr>
          <w:u w:color="ffffff" w:val="single"/>
        </w:rPr>
      </w:r>
    </w:p>
    <w:p>
      <w:pPr>
        <w:spacing/>
        <w:jc w:val="center"/>
        <w:rPr>
          <w:u w:color="ffffff" w:val="single"/>
        </w:rPr>
      </w:pPr>
      <w:r>
        <w:rPr>
          <w:u w:color="ffffff" w:val="single"/>
        </w:rPr>
      </w:r>
    </w:p>
    <w:p>
      <w:pPr>
        <w:spacing/>
        <w:jc w:val="center"/>
        <w:rPr>
          <w:u w:color="ffffff" w:val="single"/>
        </w:rPr>
      </w:pPr>
      <w:r>
        <w:rPr>
          <w:u w:color="ffffff" w:val="single"/>
        </w:rPr>
      </w:r>
    </w:p>
    <w:p>
      <w:pPr>
        <w:spacing/>
        <w:jc w:val="center"/>
        <w:rPr>
          <w:u w:color="ffffff" w:val="single"/>
        </w:rPr>
      </w:pPr>
      <w:r>
        <w:rPr>
          <w:u w:color="ffffff" w:val="single"/>
        </w:rPr>
      </w:r>
    </w:p>
    <w:p>
      <w:pPr>
        <w:spacing/>
        <w:jc w:val="center"/>
        <w:rPr>
          <w:u w:color="ffffff" w:val="single"/>
        </w:rPr>
      </w:pPr>
      <w:r>
        <w:rPr>
          <w:u w:color="ffffff" w:val="single"/>
        </w:rPr>
      </w:r>
    </w:p>
    <w:p>
      <w:pPr>
        <w:spacing/>
        <w:jc w:val="center"/>
        <w:rPr>
          <w:u w:color="ffffff" w:val="single"/>
        </w:rPr>
      </w:pPr>
      <w:r>
        <w:rPr>
          <w:u w:color="ffffff" w:val="single"/>
        </w:rPr>
      </w:r>
    </w:p>
    <w:p>
      <w:pPr>
        <w:spacing/>
        <w:jc w:val="center"/>
        <w:rPr>
          <w:u w:color="ffffff" w:val="single"/>
        </w:rPr>
      </w:pPr>
      <w:r>
        <w:rPr>
          <w:u w:color="ffffff" w:val="single"/>
        </w:rPr>
      </w:r>
    </w:p>
    <w:p>
      <w:pPr>
        <w:spacing/>
        <w:jc w:val="center"/>
        <w:rPr>
          <w:u w:color="ffffff" w:val="single"/>
        </w:rPr>
      </w:pPr>
      <w:r>
        <w:rPr>
          <w:u w:color="ffffff" w:val="single"/>
        </w:rPr>
      </w:r>
    </w:p>
    <w:p>
      <w:pPr>
        <w:spacing/>
        <w:jc w:val="center"/>
        <w:rPr>
          <w:u w:color="ffffff" w:val="single"/>
        </w:rPr>
      </w:pPr>
      <w:r>
        <w:rPr>
          <w:u w:color="ffffff" w:val="single"/>
        </w:rPr>
      </w:r>
    </w:p>
    <w:p>
      <w:pPr>
        <w:spacing/>
        <w:jc w:val="center"/>
        <w:rPr>
          <w:u w:color="ffffff" w:val="single"/>
        </w:rPr>
      </w:pPr>
      <w:r>
        <w:rPr>
          <w:u w:color="ffffff" w:val="single"/>
        </w:rPr>
      </w:r>
    </w:p>
    <w:p>
      <w:pPr>
        <w:spacing/>
        <w:jc w:val="center"/>
        <w:rPr>
          <w:u w:color="ffffff" w:val="single"/>
        </w:rPr>
      </w:pPr>
      <w:r>
        <w:rPr>
          <w:u w:color="ffffff" w:val="single"/>
        </w:rPr>
      </w:r>
    </w:p>
    <w:p>
      <w:pPr>
        <w:spacing/>
        <w:jc w:val="center"/>
        <w:rPr>
          <w:u w:color="ffffff" w:val="single"/>
        </w:rPr>
      </w:pPr>
      <w:r>
        <w:rPr>
          <w:u w:color="ffffff" w:val="single"/>
        </w:rPr>
      </w:r>
    </w:p>
    <w:p>
      <w:pPr>
        <w:spacing/>
        <w:jc w:val="center"/>
        <w:rPr>
          <w:u w:color="ffffff" w:val="single"/>
        </w:rPr>
      </w:pPr>
      <w:r>
        <w:rPr>
          <w:u w:color="ffffff" w:val="single"/>
        </w:rPr>
      </w:r>
    </w:p>
    <w:p>
      <w:pPr>
        <w:spacing/>
        <w:jc w:val="center"/>
        <w:rPr>
          <w:u w:color="ffffff" w:val="single"/>
        </w:rPr>
      </w:pPr>
      <w:r>
        <w:rPr>
          <w:u w:color="ffffff" w:val="single"/>
        </w:rPr>
      </w:r>
    </w:p>
    <w:p>
      <w:pPr>
        <w:spacing/>
        <w:jc w:val="center"/>
        <w:rPr>
          <w:u w:color="ffffff" w:val="single"/>
        </w:rPr>
      </w:pPr>
      <w:r>
        <w:rPr>
          <w:u w:color="ffffff" w:val="single"/>
        </w:rPr>
      </w:r>
    </w:p>
    <w:p>
      <w:pPr>
        <w:spacing/>
        <w:jc w:val="center"/>
        <w:rPr>
          <w:u w:color="ffffff" w:val="single"/>
        </w:rPr>
      </w:pPr>
      <w:r>
        <w:rPr>
          <w:u w:color="ffffff" w:val="single"/>
        </w:rPr>
      </w:r>
    </w:p>
    <w:p>
      <w:pPr>
        <w:spacing/>
        <w:jc w:val="center"/>
        <w:rPr>
          <w:u w:color="ffffff" w:val="single"/>
        </w:rPr>
      </w:pPr>
      <w:r>
        <w:t>Сведения о доходах,  расходах имуществе и обязательствах имущественного характера главного специалиста по вопросам бухгалтерского учета Администрации Федосеевского сельского поселения с 01.01.2021 по 31.01.2021 год</w:t>
      </w:r>
      <w:r>
        <w:rPr>
          <w:u w:color="ffffff" w:val="single"/>
        </w:rPr>
      </w:r>
    </w:p>
    <w:p>
      <w:pPr>
        <w:spacing/>
        <w:jc w:val="center"/>
      </w:pPr>
      <w:r/>
    </w:p>
    <w:tbl>
      <w:tblPr>
        <w:tblStyle w:val="NormalTable"/>
        <w:name w:val="Таблица6"/>
        <w:tabOrder w:val="0"/>
        <w:jc w:val="left"/>
        <w:tblInd w:w="0" w:type="dxa"/>
        <w:tblW w:w="14783" w:type="dxa"/>
        <w:tblLook w:val="01E0" w:firstRow="1" w:lastRow="1" w:firstColumn="1" w:lastColumn="1" w:noHBand="0" w:noVBand="0"/>
      </w:tblPr>
      <w:tblGrid>
        <w:gridCol w:w="1722"/>
        <w:gridCol w:w="1673"/>
        <w:gridCol w:w="1918"/>
        <w:gridCol w:w="1320"/>
        <w:gridCol w:w="1870"/>
        <w:gridCol w:w="1391"/>
        <w:gridCol w:w="1842"/>
        <w:gridCol w:w="1150"/>
        <w:gridCol w:w="1897"/>
      </w:tblGrid>
      <w:tr>
        <w:trPr>
          <w:tblHeader w:val="0"/>
          <w:cantSplit w:val="0"/>
          <w:trHeight w:val="0" w:hRule="auto"/>
        </w:trPr>
        <w:tc>
          <w:tcPr>
            <w:tcW w:w="17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</w:t>
            </w:r>
          </w:p>
        </w:tc>
        <w:tc>
          <w:tcPr>
            <w:tcW w:w="16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Деклариро-ванный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2021год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649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9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>
        <w:trPr>
          <w:tblHeader w:val="0"/>
          <w:cantSplit w:val="0"/>
          <w:trHeight w:val="1207" w:hRule="atLeast"/>
        </w:trPr>
        <w:tc>
          <w:tcPr>
            <w:tcW w:w="172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/>
        </w:tc>
        <w:tc>
          <w:tcPr>
            <w:tcW w:w="16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/>
        </w:tc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недвижимости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(кв.м)</w:t>
            </w:r>
          </w:p>
        </w:tc>
        <w:tc>
          <w:tcPr>
            <w:tcW w:w="187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Транс-портные средства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8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/>
        </w:tc>
      </w:tr>
      <w:tr>
        <w:trPr>
          <w:tblHeader w:val="0"/>
          <w:cantSplit w:val="0"/>
          <w:trHeight w:val="1350" w:hRule="atLeast"/>
        </w:trPr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Светашева Елена Владимировна</w:t>
            </w:r>
          </w:p>
        </w:tc>
        <w:tc>
          <w:tcPr>
            <w:tcW w:w="167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158951,80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 доля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для ведения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ЛПХ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2/55 от 25080000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1940,0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187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для ведения ЛПХ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1283</w:t>
            </w: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>
          <w:tblHeader w:val="0"/>
          <w:cantSplit w:val="0"/>
          <w:trHeight w:val="1350" w:hRule="atLeast"/>
        </w:trPr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7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496853,75</w:t>
            </w:r>
          </w:p>
        </w:tc>
        <w:tc>
          <w:tcPr>
            <w:tcW w:w="19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7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21093, 2001 г.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для ведения ЛПХ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5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1283,0</w:t>
            </w: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51834020" protected="0"/>
          </w:tcPr>
          <w:p>
            <w:pPr>
              <w: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1134" w:top="851" w:right="1134" w:bottom="851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Calibri">
    <w:panose1 w:val="020F0502020204030204"/>
    <w:charset w:val="cc"/>
    <w:family w:val="roman"/>
    <w:pitch w:val="default"/>
  </w:font>
  <w:font w:name="Tahoma">
    <w:panose1 w:val="020B0604030504040204"/>
    <w:charset w:val="cc"/>
    <w:family w:val="roman"/>
    <w:pitch w:val="default"/>
  </w:font>
  <w:font w:name="Liberation Sans">
    <w:panose1 w:val="020B0604020202020204"/>
    <w:charset w:val="cc"/>
    <w:family w:val="roman"/>
    <w:pitch w:val="default"/>
  </w:font>
  <w:font w:name="Microsoft YaHei">
    <w:panose1 w:val="020B0503020204020204"/>
    <w:charset w:val="00"/>
    <w:family w:val="auto"/>
    <w:pitch w:val="default"/>
  </w:font>
  <w:font w:name="Mangal">
    <w:panose1 w:val="02040503050203030202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6"/>
    <w:tmLastPosSelect w:val="0"/>
    <w:tmLastPosFrameIdx w:val="178"/>
    <w:tmLastPosCaret>
      <w:tmLastPosPgfIdx w:val="0"/>
      <w:tmLastPosIdx w:val="14"/>
    </w:tmLastPosCaret>
    <w:tmLastPosAnchor>
      <w:tmLastPosPgfIdx w:val="0"/>
      <w:tmLastPosIdx w:val="0"/>
    </w:tmLastPosAnchor>
    <w:tmLastPosTblRect w:left="0" w:top="0" w:right="0" w:bottom="0"/>
  </w:tmLastPos>
  <w:tmAppRevision w:date="1651834020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kern w:val="1"/>
      <w:sz w:val="24"/>
      <w:szCs w:val="24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5">
    <w:name w:val="Index Heading"/>
    <w:qFormat/>
    <w:basedOn w:val="para0"/>
    <w:pPr>
      <w:suppressLineNumbers/>
    </w:pPr>
    <w:rPr>
      <w:rFonts w:cs="Mangal"/>
    </w:rPr>
  </w:style>
  <w:style w:type="paragraph" w:styleId="para6" w:customStyle="1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7" w:customStyle="1">
    <w:name w:val="Index Heading"/>
    <w:qFormat/>
    <w:basedOn w:val="para0"/>
    <w:pPr>
      <w:suppressLineNumbers/>
    </w:pPr>
    <w:rPr>
      <w:rFonts w:cs="Mangal"/>
    </w:rPr>
  </w:style>
  <w:style w:type="paragraph" w:styleId="para8" w:customStyle="1">
    <w:name w:val="ConsPlusCell"/>
    <w:qFormat/>
    <w:pPr>
      <w:widowControl w:val="0"/>
    </w:pPr>
    <w:rPr>
      <w:rFonts w:ascii="Arial" w:hAnsi="Arial" w:eastAsia="Calibri" w:cs="Arial"/>
      <w:kern w:val="1"/>
      <w:szCs w:val="22"/>
      <w:lang w:val="ru-ru" w:eastAsia="zh-cn" w:bidi="ar-sa"/>
    </w:r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>
    <w:name w:val="List Paragraph"/>
    <w:qFormat/>
    <w:basedOn w:val="para0"/>
    <w:pPr>
      <w:ind w:left="720"/>
      <w:contextualSpacing/>
    </w:pPr>
  </w:style>
  <w:style w:type="paragraph" w:styleId="para11" w:customStyle="1">
    <w:name w:val="Верхний и нижний колонтитулы"/>
    <w:qFormat/>
    <w:basedOn w:val="para0"/>
  </w:style>
  <w:style w:type="paragraph" w:styleId="para12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3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4" w:customStyle="1">
    <w:name w:val="Содержимое таблицы"/>
    <w:qFormat/>
    <w:basedOn w:val="para0"/>
    <w:pPr>
      <w:suppressLineNumbers/>
      <w:widowControl w:val="0"/>
    </w:pPr>
  </w:style>
  <w:style w:type="paragraph" w:styleId="para15" w:customStyle="1">
    <w:name w:val="Заголовок таблицы"/>
    <w:qFormat/>
    <w:basedOn w:val="para14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  <w:style w:type="character" w:styleId="char2" w:customStyle="1">
    <w:name w:val="Верхний колонтитул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3" w:customStyle="1">
    <w:name w:val="Нижний колонтитул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4" w:customStyle="1">
    <w:name w:val="Символ концевой сноски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0"/>
        <w:szCs w:val="22"/>
        <w:lang w:val="ru-ru" w:eastAsia="zh-cn" w:bidi="ar-sa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kern w:val="1"/>
      <w:sz w:val="24"/>
      <w:szCs w:val="24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5">
    <w:name w:val="Index Heading"/>
    <w:qFormat/>
    <w:basedOn w:val="para0"/>
    <w:pPr>
      <w:suppressLineNumbers/>
    </w:pPr>
    <w:rPr>
      <w:rFonts w:cs="Mangal"/>
    </w:rPr>
  </w:style>
  <w:style w:type="paragraph" w:styleId="para6" w:customStyle="1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7" w:customStyle="1">
    <w:name w:val="Index Heading"/>
    <w:qFormat/>
    <w:basedOn w:val="para0"/>
    <w:pPr>
      <w:suppressLineNumbers/>
    </w:pPr>
    <w:rPr>
      <w:rFonts w:cs="Mangal"/>
    </w:rPr>
  </w:style>
  <w:style w:type="paragraph" w:styleId="para8" w:customStyle="1">
    <w:name w:val="ConsPlusCell"/>
    <w:qFormat/>
    <w:pPr>
      <w:widowControl w:val="0"/>
    </w:pPr>
    <w:rPr>
      <w:rFonts w:ascii="Arial" w:hAnsi="Arial" w:eastAsia="Calibri" w:cs="Arial"/>
      <w:kern w:val="1"/>
      <w:szCs w:val="22"/>
      <w:lang w:val="ru-ru" w:eastAsia="zh-cn" w:bidi="ar-sa"/>
    </w:rPr>
  </w:style>
  <w:style w:type="paragraph" w:styleId="para9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0">
    <w:name w:val="List Paragraph"/>
    <w:qFormat/>
    <w:basedOn w:val="para0"/>
    <w:pPr>
      <w:ind w:left="720"/>
      <w:contextualSpacing/>
    </w:pPr>
  </w:style>
  <w:style w:type="paragraph" w:styleId="para11" w:customStyle="1">
    <w:name w:val="Верхний и нижний колонтитулы"/>
    <w:qFormat/>
    <w:basedOn w:val="para0"/>
  </w:style>
  <w:style w:type="paragraph" w:styleId="para12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3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14" w:customStyle="1">
    <w:name w:val="Содержимое таблицы"/>
    <w:qFormat/>
    <w:basedOn w:val="para0"/>
    <w:pPr>
      <w:suppressLineNumbers/>
      <w:widowControl w:val="0"/>
    </w:pPr>
  </w:style>
  <w:style w:type="paragraph" w:styleId="para15" w:customStyle="1">
    <w:name w:val="Заголовок таблицы"/>
    <w:qFormat/>
    <w:basedOn w:val="para14"/>
    <w:pPr>
      <w:spacing/>
      <w:jc w:val="center"/>
    </w:pPr>
    <w:rPr>
      <w:b/>
      <w:bCs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  <w:style w:type="character" w:styleId="char2" w:customStyle="1">
    <w:name w:val="Верхний колонтитул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3" w:customStyle="1">
    <w:name w:val="Нижний колонтитул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4" w:customStyle="1">
    <w:name w:val="Символ концевой сноски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Федосеевка</dc:creator>
  <cp:keywords/>
  <dc:description/>
  <cp:lastModifiedBy/>
  <cp:revision>40</cp:revision>
  <cp:lastPrinted>2014-05-23T10:18:00Z</cp:lastPrinted>
  <dcterms:created xsi:type="dcterms:W3CDTF">2019-05-13T07:30:00Z</dcterms:created>
  <dcterms:modified xsi:type="dcterms:W3CDTF">2022-05-06T10:47:00Z</dcterms:modified>
</cp:coreProperties>
</file>