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/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lPd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2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№  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>.05.2024</w:t>
        <w:tab/>
        <w:tab/>
        <w:tab/>
        <w:tab/>
        <w:tab/>
        <w:tab/>
        <w:tab/>
        <w:t xml:space="preserve">                              с. Федосеевка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332" protected="0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Администрации Федосеевского сельского поселения от 02.11.2018 № 89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17565332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numPr>
          <w:ilvl w:val="0"/>
          <w:numId w:val="1"/>
        </w:numPr>
        <w:ind w:left="0" w:firstLine="709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Внести в приложение  к постановлению Администрации Федосеевского сельского поселения  от 02.11.2018 № 89 «Об утверждении 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color w:val="auto"/>
          <w:szCs w:val="28"/>
        </w:rPr>
        <w:t>»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numPr>
          <w:ilvl w:val="1"/>
          <w:numId w:val="4"/>
        </w:numPr>
        <w:ind w:left="0" w:firstLine="709"/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паспорт муниципальной программы Федосеевского сельского поселения «</w:t>
      </w:r>
      <w:r>
        <w:rPr>
          <w:rFonts w:ascii="Times New Roman" w:hAnsi="Times New Roman"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color w:val="auto"/>
          <w:szCs w:val="28"/>
        </w:rPr>
        <w:t>» внести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 пункт «Ресурсное обеспечение муниципальной программы» изложить в  редакции:</w:t>
      </w:r>
    </w:p>
    <w:tbl>
      <w:tblPr>
        <w:tblStyle w:val="NormalTable"/>
        <w:name w:val="Таблица2"/>
        <w:tabOrder w:val="0"/>
        <w:jc w:val="left"/>
        <w:tblInd w:w="-80" w:type="dxa"/>
        <w:tblW w:w="9975" w:type="dxa"/>
        <w:tblLook w:val="00A0" w:firstRow="1" w:lastRow="0" w:firstColumn="1" w:lastColumn="0" w:noHBand="0" w:noVBand="0"/>
      </w:tblPr>
      <w:tblGrid>
        <w:gridCol w:w="77"/>
        <w:gridCol w:w="2998"/>
        <w:gridCol w:w="294"/>
        <w:gridCol w:w="348"/>
        <w:gridCol w:w="5801"/>
        <w:gridCol w:w="457"/>
      </w:tblGrid>
      <w:tr>
        <w:trPr>
          <w:cantSplit w:val="0"/>
          <w:trHeight w:val="0" w:hRule="auto"/>
        </w:trPr>
        <w:tc>
          <w:tcPr>
            <w:tcW w:w="77" w:type="dxa"/>
            <w:tcMar>
              <w:left w:w="108" w:type="dxa"/>
              <w:right w:w="108" w:type="dxa"/>
            </w:tcMar>
            <w:tmTcPr id="1717565332" protected="0"/>
          </w:tcPr>
          <w:p>
            <w:pPr/>
            <w:r/>
          </w:p>
        </w:tc>
        <w:tc>
          <w:tcPr>
            <w:tcW w:w="2998" w:type="dxa"/>
            <w:tcMar>
              <w:left w:w="108" w:type="dxa"/>
              <w:right w:w="108" w:type="dxa"/>
            </w:tcMar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42" w:type="dxa"/>
            <w:gridSpan w:val="2"/>
            <w:tcMar>
              <w:left w:w="108" w:type="dxa"/>
              <w:right w:w="108" w:type="dxa"/>
            </w:tcMar>
            <w:tmTcPr id="1717565332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</w:tc>
        <w:tc>
          <w:tcPr>
            <w:tcW w:w="6258" w:type="dxa"/>
            <w:gridSpan w:val="2"/>
            <w:tcMar>
              <w:left w:w="108" w:type="dxa"/>
              <w:right w:w="108" w:type="dxa"/>
            </w:tcMar>
            <w:tmTcPr id="1717565332" protected="0"/>
          </w:tcPr>
          <w:p>
            <w:pPr>
              <w:spacing w:line="259" w:lineRule="auto"/>
              <w:suppressAutoHyphens/>
              <w:hyphenationLines w:val="0"/>
              <w:tabs defTabSz="720">
                <w:tab w:val="left" w:pos="0" w:leader="none"/>
              </w:tabs>
              <w:rPr>
                <w:rFonts w:ascii="Times New Roman" w:hAnsi="Times New Roman"/>
                <w:color w:val="00b0f0"/>
                <w:kern w:val="1"/>
                <w:szCs w:val="28"/>
              </w:rPr>
            </w:pPr>
            <w:r>
              <w:rPr>
                <w:rFonts w:ascii="Times New Roman" w:hAnsi="Times New Roman"/>
                <w:color w:val="00b0f0"/>
                <w:kern w:val="1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369" w:type="dxa"/>
            <w:gridSpan w:val="3"/>
            <w:tcMar>
              <w:left w:w="108" w:type="dxa"/>
              <w:right w:w="108" w:type="dxa"/>
            </w:tcMar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Федосеевского сельского поселения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149" w:type="dxa"/>
            <w:gridSpan w:val="2"/>
            <w:tcMar>
              <w:left w:w="108" w:type="dxa"/>
              <w:right w:w="108" w:type="dxa"/>
            </w:tcMar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Общий объем финансирования программы составляет 238,9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2019 году – 17,3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2020 году – 6,8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2021 году – 23,1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2022 году – 4,2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2023 году – 5,2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2024 году – 14,5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2025 году – 25,5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2026 году – 25,5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2027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2028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2029 году – 29,2 тыс. рублей;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29,2 тыс. рублей.</w:t>
            </w:r>
            <w:r>
              <w:rPr>
                <w:rFonts w:ascii="Times New Roman" w:hAnsi="Times New Roman"/>
                <w:color w:val="auto"/>
                <w:szCs w:val="28"/>
              </w:rPr>
              <w:t>».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</w:tr>
    </w:tbl>
    <w:p>
      <w:pPr>
        <w:ind w:firstLine="708"/>
        <w:suppressAutoHyphens/>
        <w:hyphenationLines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1.2. В паспорт подпрограммы «Пожарная безопасность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782" w:type="dxa"/>
        <w:tblLook w:val="00A0" w:firstRow="1" w:lastRow="0" w:firstColumn="1" w:lastColumn="0" w:noHBand="0" w:noVBand="0"/>
      </w:tblPr>
      <w:tblGrid>
        <w:gridCol w:w="2074"/>
        <w:gridCol w:w="1291"/>
        <w:gridCol w:w="6417"/>
      </w:tblGrid>
      <w:tr>
        <w:trPr>
          <w:cantSplit w:val="0"/>
          <w:trHeight w:val="3380" w:hRule="atLeast"/>
        </w:trPr>
        <w:tc>
          <w:tcPr>
            <w:tcW w:w="2074" w:type="dxa"/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1291" w:type="dxa"/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417" w:type="dxa"/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132,0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в 2019 году – 8,0 тыс.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2020 году – 5,3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2021 году – 12,0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2022 году – 2,2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2023 году – 3,2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2024 году – 12,5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2025 году – 13,5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2026 году – 13,5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2027 году – 15,2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2028 году – 15,2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2029 году – 15,2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2030 году – 15,2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color w:val="auto"/>
                <w:szCs w:val="28"/>
              </w:rPr>
              <w:t>.».</w:t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</w:t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>1.3. В паспорт подпрограммы «Защита населения от чрезвычайных ситуаций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</w:t>
      </w:r>
    </w:p>
    <w:tbl>
      <w:tblPr>
        <w:tblStyle w:val="NormalTable"/>
        <w:name w:val="Таблица4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2798"/>
        <w:gridCol w:w="7091"/>
      </w:tblGrid>
      <w:tr>
        <w:trPr>
          <w:cantSplit w:val="0"/>
          <w:trHeight w:val="0" w:hRule="auto"/>
        </w:trPr>
        <w:tc>
          <w:tcPr>
            <w:tcW w:w="2798" w:type="dxa"/>
            <w:shd w:val="none"/>
            <w:tmTcPr id="1717565332" protected="0"/>
          </w:tcPr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«Ресурсное обеспечение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подпрограммы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</w:r>
          </w:p>
        </w:tc>
        <w:tc>
          <w:tcPr>
            <w:tcW w:w="7091" w:type="dxa"/>
            <w:shd w:val="none"/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96,4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в 2019 году – 8,3 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в 2021 году – 10,1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1,0 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2025 году – 11,0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2026 году – 11,0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2027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2028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2029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в 2030 году – 13,0 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 рублей.».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1.4. В паспорт подпрограммы «</w:t>
      </w:r>
      <w:r>
        <w:rPr>
          <w:rFonts w:ascii="Times New Roman" w:hAnsi="Times New Roman"/>
          <w:color w:val="auto"/>
          <w:kern w:val="1"/>
          <w:szCs w:val="28"/>
        </w:rPr>
        <w:t>Обеспечение безопасности на воде</w:t>
      </w:r>
      <w:r>
        <w:rPr>
          <w:rFonts w:ascii="Times New Roman" w:hAnsi="Times New Roman"/>
          <w:szCs w:val="28"/>
        </w:rPr>
        <w:t>» внести следующие изменения: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</w:t>
      </w:r>
    </w:p>
    <w:tbl>
      <w:tblPr>
        <w:tblStyle w:val="NormalTable"/>
        <w:name w:val="Таблица5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2798"/>
        <w:gridCol w:w="7091"/>
      </w:tblGrid>
      <w:tr>
        <w:trPr>
          <w:cantSplit w:val="0"/>
          <w:trHeight w:val="0" w:hRule="auto"/>
        </w:trPr>
        <w:tc>
          <w:tcPr>
            <w:tcW w:w="2798" w:type="dxa"/>
            <w:shd w:val="none"/>
            <w:tmTcPr id="1717565332" protected="0"/>
          </w:tcPr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«Ресурсное обеспечение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подпрограммы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</w:r>
          </w:p>
        </w:tc>
        <w:tc>
          <w:tcPr>
            <w:tcW w:w="7091" w:type="dxa"/>
            <w:shd w:val="none"/>
            <w:tmTcPr id="1717565332" protected="0"/>
          </w:tcPr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  <w:t xml:space="preserve">Общий объем финансирования подпрограммы составляет 11,5 тыс. рублей, </w:t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pacing w:val="-4"/>
                <w:kern w:val="1"/>
                <w:szCs w:val="28"/>
              </w:rPr>
              <w:t>в том числе из средств бюджета сельского поселения: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szCs w:val="28"/>
              </w:rPr>
            </w:pPr>
            <w:r>
              <w:rPr>
                <w:rFonts w:ascii="Times New Roman" w:hAnsi="Times New Roman" w:cs="Calibri"/>
                <w:color w:val="auto"/>
                <w:szCs w:val="28"/>
              </w:rPr>
              <w:t>в 2019 году – 1,0 тыс.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2020 году – 0,5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2021 году – 1,0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2022 году – 1,0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2023 году – 1,0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в 2024 году – 1,0</w:t>
            </w:r>
            <w:r>
              <w:rPr>
                <w:rFonts w:ascii="Times New Roman" w:hAnsi="Times New Roman" w:cs="Calibri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>тыс. рублей;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2025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2026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2027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2028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2029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рублей;</w:t>
            </w:r>
          </w:p>
          <w:p>
            <w:pPr>
              <w:suppressAutoHyphens/>
              <w:hyphenationLines w:val="0"/>
              <w:rPr>
                <w:rFonts w:ascii="Times New Roman" w:hAnsi="Times New Roman" w:cs="Calibri"/>
                <w:color w:val="auto"/>
                <w:kern w:val="1"/>
                <w:szCs w:val="28"/>
              </w:rPr>
            </w:pP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в 2030 году – 1,0 </w:t>
            </w:r>
            <w:r>
              <w:rPr>
                <w:rFonts w:ascii="Times New Roman" w:hAnsi="Times New Roman" w:eastAsia="Calibri" w:cs="Calibri"/>
                <w:color w:val="auto"/>
                <w:kern w:val="1"/>
                <w:szCs w:val="28"/>
              </w:rPr>
              <w:t>тыс.</w:t>
            </w:r>
            <w:r>
              <w:rPr>
                <w:rFonts w:ascii="Times New Roman" w:hAnsi="Times New Roman" w:cs="Calibri"/>
                <w:color w:val="auto"/>
                <w:kern w:val="1"/>
                <w:szCs w:val="28"/>
              </w:rPr>
              <w:t xml:space="preserve"> рублей.».</w:t>
            </w:r>
          </w:p>
        </w:tc>
      </w:tr>
    </w:tbl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 xml:space="preserve">1.5. Приложение №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szCs w:val="28"/>
        </w:rPr>
        <w:t>» изложить в редакции согласно приложению № 1  к настоящему постановлению.</w:t>
      </w:r>
      <w:r>
        <w:rPr>
          <w:rFonts w:ascii="Times New Roman" w:hAnsi="Times New Roman"/>
          <w:color w:val="auto"/>
          <w:szCs w:val="28"/>
        </w:rPr>
      </w:r>
    </w:p>
    <w:p>
      <w:pPr>
        <w:suppressAutoHyphens/>
        <w:hyphenationLines w:val="0"/>
        <w:tabs defTabSz="720">
          <w:tab w:val="left" w:pos="426" w:leader="none"/>
          <w:tab w:val="left" w:pos="709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 1.6.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 xml:space="preserve">Защита населения и территории от чрезвычайных </w:t>
      </w:r>
      <w:r>
        <w:rPr>
          <w:rFonts w:ascii="Times New Roman" w:hAnsi="Times New Roman"/>
          <w:color w:val="auto"/>
          <w:szCs w:val="28"/>
        </w:rPr>
        <w:t>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szCs w:val="28"/>
        </w:rPr>
        <w:t>» изложить в редакции согласно приложению № 2  к настоящему постановлению.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5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               А.Р. 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.05.2024 №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bCs/>
          <w:color w:val="auto"/>
          <w:kern w:val="1"/>
          <w:szCs w:val="28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>бюджета сельского поселения 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rFonts w:ascii="Times New Roman" w:hAnsi="Times New Roman"/>
          <w:bCs/>
          <w:color w:val="auto"/>
          <w:kern w:val="1"/>
          <w:szCs w:val="28"/>
        </w:rPr>
        <w:t xml:space="preserve">» </w:t>
      </w:r>
      <w:r>
        <w:rPr>
          <w:rFonts w:ascii="Times New Roman" w:hAnsi="Times New Roman"/>
          <w:bCs/>
          <w:color w:val="auto"/>
          <w:kern w:val="1"/>
          <w:szCs w:val="28"/>
        </w:rPr>
      </w:r>
    </w:p>
    <w:p>
      <w:pPr>
        <w:spacing/>
        <w:jc w:val="center"/>
      </w:pPr>
      <w:r/>
    </w:p>
    <w:tbl>
      <w:tblPr>
        <w:tblStyle w:val="NormalTable"/>
        <w:name w:val="Таблица6"/>
        <w:tabOrder w:val="0"/>
        <w:jc w:val="left"/>
        <w:tblInd w:w="-181" w:type="dxa"/>
        <w:tblW w:w="15648" w:type="dxa"/>
        <w:tblLook w:val="0000" w:firstRow="0" w:lastRow="0" w:firstColumn="0" w:lastColumn="0" w:noHBand="0" w:noVBand="0"/>
      </w:tblPr>
      <w:tblGrid>
        <w:gridCol w:w="1888"/>
        <w:gridCol w:w="1843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9"/>
      </w:tblGrid>
      <w:tr>
        <w:trPr>
          <w:cantSplit w:val="0"/>
          <w:trHeight w:val="0" w:hRule="auto"/>
        </w:trPr>
        <w:tc>
          <w:tcPr>
            <w:tcW w:w="18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подпрограммы, основного мероприятия, приоритетного основного мероприятия </w:t>
            </w:r>
          </w:p>
        </w:tc>
        <w:tc>
          <w:tcPr>
            <w:tcW w:w="18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2693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расхо-дов, всего</w:t>
            </w:r>
          </w:p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8515" w:type="dxa"/>
            <w:gridSpan w:val="1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18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0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                                            в том числе: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238,9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Администрация Федосеевского сельского поселения;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238,9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«Пожарная безопасность» 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1.1.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0210026380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1.2.</w:t>
            </w:r>
            <w:r>
              <w:rPr>
                <w:rFonts w:ascii="Times New Roman" w:hAnsi="Times New Roman"/>
                <w:bCs/>
                <w:sz w:val="20"/>
              </w:rPr>
              <w:t xml:space="preserve"> Дооснащение  современным противопожарным инвентарем, первичными средствами пожаротушения и улучшение противопожарной защищенности подведомственных объектов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Федосеевского сельского поселения;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0210026060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1.3. Дооснащение  современным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0210026070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1.4.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добровольных пожарных дружины (команд) на территории Федосеевского сельского поселения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0210026330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cantSplit w:val="0"/>
          <w:trHeight w:val="988" w:hRule="atLeast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kern w:val="1"/>
                <w:sz w:val="20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kern w:val="1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107,3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2.1. </w:t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Поддержание в постоянной готовности муниципальной системы оповещения населения Федосеевского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2.2.</w:t>
              <w:br w:type="textWrapping"/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0220026090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2.3.</w:t>
            </w:r>
            <w:r>
              <w:rPr>
                <w:rFonts w:ascii="Times New Roman" w:hAnsi="Times New Roman"/>
                <w:bCs/>
                <w:sz w:val="20"/>
              </w:rPr>
              <w:t xml:space="preserve"> Организация сезонных наблюдений</w:t>
            </w:r>
            <w:r>
              <w:rPr>
                <w:rFonts w:ascii="Times New Roman" w:hAnsi="Times New Roman"/>
                <w:sz w:val="20"/>
              </w:rPr>
              <w:t xml:space="preserve"> гидрологического поста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0220026100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2.3.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0220026420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 «</w:t>
            </w:r>
            <w:r>
              <w:rPr>
                <w:rFonts w:ascii="Times New Roman" w:hAnsi="Times New Roman"/>
                <w:kern w:val="1"/>
                <w:sz w:val="20"/>
              </w:rPr>
              <w:t>Обеспечение безопасности на воде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kern w:val="1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18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 3.1. </w:t>
            </w:r>
            <w:r>
              <w:rPr>
                <w:rFonts w:ascii="Times New Roman" w:hAnsi="Times New Roman"/>
                <w:bCs/>
                <w:kern w:val="1"/>
                <w:sz w:val="20"/>
              </w:rPr>
              <w:t>Предупреждение несчастных случаев на водоемах сельского поселения и пропаганда среди населения  по безопасности поведения на воде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поселения; ведущий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0230026110</w:t>
            </w:r>
          </w:p>
        </w:tc>
        <w:tc>
          <w:tcPr>
            <w:tcW w:w="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</w:tbl>
    <w:p>
      <w:pPr>
        <w:ind w:firstLine="709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sz w:val="22"/>
          <w:szCs w:val="22"/>
        </w:rPr>
        <w:br w:type="textWrapping"/>
        <w:tab/>
      </w:r>
      <w:r>
        <w:rPr>
          <w:rFonts w:ascii="Times New Roman" w:hAnsi="Times New Roman"/>
          <w:color w:val="auto"/>
          <w:kern w:val="1"/>
          <w:sz w:val="20"/>
        </w:rPr>
        <w:t>Примечание.</w:t>
      </w:r>
      <w:r>
        <w:rPr>
          <w:rFonts w:ascii="Times New Roman" w:hAnsi="Times New Roman"/>
          <w:color w:val="auto"/>
          <w:kern w:val="1"/>
          <w:sz w:val="20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Используемые сокращения: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муниципальная программа – 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ГРБС – главный распорядитель бюджетных средств;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РзПр – раздел, подраздел;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</w:rPr>
      </w:pPr>
      <w:r>
        <w:rPr>
          <w:rFonts w:ascii="Times New Roman" w:hAnsi="Times New Roman"/>
          <w:color w:val="auto"/>
          <w:kern w:val="1"/>
          <w:sz w:val="20"/>
        </w:rPr>
        <w:t>ЦСР – целевая статья расходов;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 w:val="20"/>
        </w:rPr>
        <w:t xml:space="preserve">           ВР – вид расходов.</w:t>
      </w:r>
      <w:r>
        <w:rPr>
          <w:rFonts w:ascii="Times New Roman" w:hAnsi="Times New Roman"/>
          <w:color w:val="auto"/>
          <w:kern w:val="1"/>
          <w:szCs w:val="28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Cs w:val="28"/>
        </w:rPr>
        <w:t xml:space="preserve">        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.05.2024 № 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Cs w:val="28"/>
        </w:rPr>
      </w:pPr>
      <w:r>
        <w:rPr>
          <w:rFonts w:eastAsia="Calibri"/>
          <w:kern w:val="1"/>
          <w:szCs w:val="28"/>
        </w:rPr>
        <w:t>на реализацию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spacing/>
        <w:jc w:val="center"/>
      </w:pPr>
      <w:r/>
    </w:p>
    <w:tbl>
      <w:tblPr>
        <w:tblStyle w:val="NormalTable"/>
        <w:name w:val="Таблица7"/>
        <w:tabOrder w:val="0"/>
        <w:jc w:val="left"/>
        <w:tblInd w:w="194" w:type="dxa"/>
        <w:tblW w:w="15173" w:type="dxa"/>
        <w:tblLook w:val="0000" w:firstRow="0" w:lastRow="0" w:firstColumn="0" w:lastColumn="0" w:noHBand="0" w:noVBand="0"/>
      </w:tblPr>
      <w:tblGrid>
        <w:gridCol w:w="3100"/>
        <w:gridCol w:w="2098"/>
        <w:gridCol w:w="664"/>
        <w:gridCol w:w="22"/>
        <w:gridCol w:w="751"/>
        <w:gridCol w:w="22"/>
        <w:gridCol w:w="751"/>
        <w:gridCol w:w="22"/>
        <w:gridCol w:w="751"/>
        <w:gridCol w:w="22"/>
        <w:gridCol w:w="752"/>
        <w:gridCol w:w="22"/>
        <w:gridCol w:w="751"/>
        <w:gridCol w:w="22"/>
        <w:gridCol w:w="751"/>
        <w:gridCol w:w="22"/>
        <w:gridCol w:w="751"/>
        <w:gridCol w:w="22"/>
        <w:gridCol w:w="752"/>
        <w:gridCol w:w="22"/>
        <w:gridCol w:w="751"/>
        <w:gridCol w:w="22"/>
        <w:gridCol w:w="751"/>
        <w:gridCol w:w="22"/>
        <w:gridCol w:w="751"/>
        <w:gridCol w:w="22"/>
        <w:gridCol w:w="762"/>
        <w:gridCol w:w="22"/>
      </w:tblGrid>
      <w:tr>
        <w:trPr>
          <w:tblHeader/>
          <w:cantSplit w:val="0"/>
          <w:trHeight w:val="0" w:hRule="auto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098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Источники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финансирования</w:t>
            </w:r>
          </w:p>
        </w:tc>
        <w:tc>
          <w:tcPr>
            <w:tcW w:w="686" w:type="dxa"/>
            <w:gridSpan w:val="2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Объем расхо-дов, всего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(тыс. руб.)</w:t>
            </w:r>
          </w:p>
          <w:p>
            <w:pPr>
              <w:ind w:left="-57" w:right="-47"/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289" w:type="dxa"/>
            <w:gridSpan w:val="24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 муниципальной программы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686" w:type="dxa"/>
            <w:gridSpan w:val="2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suppressAutoHyphens/>
              <w:hyphenationLines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260" w:hRule="atLeast"/>
        </w:trPr>
        <w:tc>
          <w:tcPr>
            <w:tcW w:w="310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</w:t>
            </w:r>
          </w:p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</w:t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6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11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14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 w:line="209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77" w:hRule="atLeast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bCs/>
                <w:sz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249,9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66" w:hRule="atLeast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kern w:val="1"/>
                <w:sz w:val="20"/>
              </w:rPr>
              <w:t>Пожарная безопасность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kern w:val="1"/>
                <w:sz w:val="20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96,4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kern w:val="1"/>
                <w:sz w:val="20"/>
              </w:rPr>
              <w:t>Обеспечение безопасности на воде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11" w:right="-63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  <w:p>
            <w:pPr>
              <w:ind w:left="-11" w:righ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73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84" w:type="dxa"/>
            <w:gridSpan w:val="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том числе за счет средств: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областного бюджета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бюджета района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00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/>
        </w:tc>
        <w:tc>
          <w:tcPr>
            <w:tcW w:w="209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4" w:type="dxa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  <w:gridSpan w:val="2"/>
            <w:vAlign w:val="center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7565332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4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4"/>
    <w:tmLastPosSelect w:val="0"/>
    <w:tmLastPosFrameIdx w:val="0"/>
    <w:tmLastPosCaret>
      <w:tmLastPosPgfIdx w:val="55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1756533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2023-06-21T08:31:00Z</dcterms:created>
  <dcterms:modified xsi:type="dcterms:W3CDTF">2024-06-05T05:28:52Z</dcterms:modified>
</cp:coreProperties>
</file>