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</w:r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JTdh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2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№ 104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09.12.2024</w:t>
        <w:tab/>
        <w:tab/>
        <w:tab/>
        <w:tab/>
        <w:tab/>
        <w:tab/>
        <w:tab/>
        <w:t xml:space="preserve">                              с. Федосеевка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4357" protected="0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 внесении изменений в постановление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Администрации Федосеевского сельского поселения от 02.11.2018 № 89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4357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</w:tr>
    </w:tbl>
    <w:p>
      <w:pPr>
        <w:ind w:firstLine="709"/>
        <w:suppressAutoHyphens/>
        <w:hyphenationLines w:val="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szCs w:val="28"/>
        </w:rPr>
        <w:t>муниципальной программы Федосеевского сельского поселения «</w:t>
      </w:r>
      <w:r>
        <w:rPr>
          <w:rFonts w:ascii="Times New Roman" w:hAnsi="Times New Roman"/>
          <w:color w:val="auto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</w:r>
      <w:r>
        <w:rPr>
          <w:rFonts w:ascii="Times New Roman" w:hAnsi="Times New Roman"/>
          <w:color w:val="auto"/>
        </w:rPr>
        <w:t>Федосеевского</w:t>
      </w:r>
      <w:r>
        <w:rPr>
          <w:rFonts w:ascii="Times New Roman" w:hAnsi="Times New Roman"/>
          <w:color w:val="auto"/>
        </w:rPr>
        <w:t xml:space="preserve"> сельского поселения</w:t>
      </w:r>
      <w:r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color w:val="auto"/>
          <w:szCs w:val="28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numPr>
          <w:ilvl w:val="0"/>
          <w:numId w:val="1"/>
        </w:numPr>
        <w:ind w:left="0" w:firstLine="709"/>
        <w:suppressAutoHyphens/>
        <w:hyphenationLines w:val="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Внести в приложение  к постановлению Администрации Федосеевского сельского поселения  от 02.11.2018 № 89 «Об утверждении муниципальной программы Федосеевского сельского поселения «</w:t>
      </w:r>
      <w:r>
        <w:rPr>
          <w:rFonts w:ascii="Times New Roman" w:hAnsi="Times New Roman"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>
        <w:rPr>
          <w:rFonts w:ascii="Times New Roman" w:hAnsi="Times New Roman"/>
          <w:color w:val="auto"/>
          <w:szCs w:val="28"/>
        </w:rPr>
        <w:t>» следующие изменения:</w:t>
      </w:r>
      <w:r>
        <w:rPr>
          <w:rFonts w:ascii="Times New Roman" w:hAnsi="Times New Roman"/>
          <w:color w:val="auto"/>
          <w:szCs w:val="28"/>
        </w:rPr>
      </w:r>
    </w:p>
    <w:p>
      <w:pPr>
        <w:numPr>
          <w:ilvl w:val="1"/>
          <w:numId w:val="4"/>
        </w:numPr>
        <w:ind w:left="0" w:firstLine="709"/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В паспорт муниципальной программы Федосеевского сельского поселения «</w:t>
      </w:r>
      <w:r>
        <w:rPr>
          <w:rFonts w:ascii="Times New Roman" w:hAnsi="Times New Roman"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>
        <w:rPr>
          <w:rFonts w:ascii="Times New Roman" w:hAnsi="Times New Roman"/>
          <w:color w:val="auto"/>
          <w:szCs w:val="28"/>
        </w:rPr>
        <w:t>» внести следующие изменения:</w:t>
      </w:r>
      <w:r>
        <w:rPr>
          <w:rFonts w:ascii="Times New Roman" w:hAnsi="Times New Roman"/>
          <w:color w:val="auto"/>
          <w:szCs w:val="28"/>
        </w:rPr>
      </w:r>
    </w:p>
    <w:p>
      <w:pPr>
        <w:suppressAutoHyphens/>
        <w:hyphenationLines w:val="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 пункт «Ресурсное обеспечение муниципальной программы» изложить в  редакции:</w:t>
      </w:r>
    </w:p>
    <w:tbl>
      <w:tblPr>
        <w:tblStyle w:val="NormalTable"/>
        <w:name w:val="Таблица2"/>
        <w:tabOrder w:val="0"/>
        <w:jc w:val="left"/>
        <w:tblInd w:w="-80" w:type="dxa"/>
        <w:tblW w:w="9975" w:type="dxa"/>
        <w:tblLook w:val="00A0" w:firstRow="1" w:lastRow="0" w:firstColumn="1" w:lastColumn="0" w:noHBand="0" w:noVBand="0"/>
      </w:tblPr>
      <w:tblGrid>
        <w:gridCol w:w="77"/>
        <w:gridCol w:w="2998"/>
        <w:gridCol w:w="294"/>
        <w:gridCol w:w="348"/>
        <w:gridCol w:w="5801"/>
        <w:gridCol w:w="457"/>
      </w:tblGrid>
      <w:tr>
        <w:trPr>
          <w:cantSplit w:val="0"/>
          <w:trHeight w:val="0" w:hRule="auto"/>
        </w:trPr>
        <w:tc>
          <w:tcPr>
            <w:tcW w:w="77" w:type="dxa"/>
            <w:tcMar>
              <w:left w:w="108" w:type="dxa"/>
              <w:right w:w="108" w:type="dxa"/>
            </w:tcMar>
            <w:tmTcPr id="1734424357" protected="0"/>
          </w:tcPr>
          <w:p>
            <w:pPr/>
            <w:r/>
          </w:p>
        </w:tc>
        <w:tc>
          <w:tcPr>
            <w:tcW w:w="2998" w:type="dxa"/>
            <w:tcMar>
              <w:left w:w="108" w:type="dxa"/>
              <w:right w:w="108" w:type="dxa"/>
            </w:tcMar>
            <w:tmTcPr id="1734424357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  <w:tc>
          <w:tcPr>
            <w:tcW w:w="642" w:type="dxa"/>
            <w:gridSpan w:val="2"/>
            <w:tcMar>
              <w:left w:w="108" w:type="dxa"/>
              <w:right w:w="108" w:type="dxa"/>
            </w:tcMar>
            <w:tmTcPr id="1734424357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  <w:tc>
          <w:tcPr>
            <w:tcW w:w="6258" w:type="dxa"/>
            <w:gridSpan w:val="2"/>
            <w:tcMar>
              <w:left w:w="108" w:type="dxa"/>
              <w:right w:w="108" w:type="dxa"/>
            </w:tcMar>
            <w:tmTcPr id="1734424357" protected="0"/>
          </w:tcPr>
          <w:p>
            <w:pPr>
              <w:spacing w:line="259" w:lineRule="auto"/>
              <w:suppressAutoHyphens/>
              <w:hyphenationLines w:val="0"/>
              <w:tabs defTabSz="720">
                <w:tab w:val="left" w:pos="0" w:leader="none"/>
              </w:tabs>
              <w:rPr>
                <w:rFonts w:ascii="Times New Roman" w:hAnsi="Times New Roman"/>
                <w:color w:val="00b0f0"/>
                <w:kern w:val="1"/>
                <w:szCs w:val="28"/>
              </w:rPr>
            </w:pPr>
            <w:r>
              <w:rPr>
                <w:rFonts w:ascii="Times New Roman" w:hAnsi="Times New Roman"/>
                <w:color w:val="00b0f0"/>
                <w:kern w:val="1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369" w:type="dxa"/>
            <w:gridSpan w:val="3"/>
            <w:tcMar>
              <w:left w:w="108" w:type="dxa"/>
              <w:right w:w="108" w:type="dxa"/>
            </w:tcMar>
            <w:tmTcPr id="1734424357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Ресурсное обеспечение муниципальной программы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Федосеевского сельского поселения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6149" w:type="dxa"/>
            <w:gridSpan w:val="2"/>
            <w:tcMar>
              <w:left w:w="108" w:type="dxa"/>
              <w:right w:w="108" w:type="dxa"/>
            </w:tcMar>
            <w:tmTcPr id="1734424357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Общий объем финансирования программы составляет 228,9 тыс. рублей, 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том числе из средств бюджета сельского поселения: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2019 году – 17,3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2020 году – 6,8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2021 году – 23,1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2022 году – 4,2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2023 году – 5,2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2024 году – 4,5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2025 году – 25,5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2026 году – 25,5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2027 году – 29,2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2028 году – 29,2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2029 году – 29,2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2030 году – 29,2 тыс. рублей.</w:t>
            </w:r>
            <w:r>
              <w:rPr>
                <w:rFonts w:ascii="Times New Roman" w:hAnsi="Times New Roman"/>
                <w:color w:val="auto"/>
                <w:szCs w:val="28"/>
              </w:rPr>
              <w:t>».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</w:tr>
    </w:tbl>
    <w:p>
      <w:pPr>
        <w:ind w:firstLine="708"/>
        <w:suppressAutoHyphens/>
        <w:hyphenationLines w:val="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1.2. В паспорт подпрограммы «Пожарная безопасность</w:t>
      </w:r>
      <w:r>
        <w:rPr>
          <w:rFonts w:ascii="Times New Roman" w:hAnsi="Times New Roman"/>
          <w:szCs w:val="28"/>
        </w:rPr>
        <w:t>» внести следующие изменения: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подпункт «Ресурсное обеспечение подпрограммы» изложить в следующей редакции:</w:t>
      </w:r>
      <w:r>
        <w:rPr>
          <w:rFonts w:ascii="Times New Roman" w:hAnsi="Times New Roman"/>
          <w:color w:val="auto"/>
          <w:kern w:val="1"/>
          <w:szCs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782" w:type="dxa"/>
        <w:tblLook w:val="00A0" w:firstRow="1" w:lastRow="0" w:firstColumn="1" w:lastColumn="0" w:noHBand="0" w:noVBand="0"/>
      </w:tblPr>
      <w:tblGrid>
        <w:gridCol w:w="2074"/>
        <w:gridCol w:w="1291"/>
        <w:gridCol w:w="6417"/>
      </w:tblGrid>
      <w:tr>
        <w:trPr>
          <w:cantSplit w:val="0"/>
          <w:trHeight w:val="3380" w:hRule="atLeast"/>
        </w:trPr>
        <w:tc>
          <w:tcPr>
            <w:tcW w:w="1060" w:type="pct"/>
            <w:tmTcPr id="1734424357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«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Ресурсное обеспечение подпрограммы</w:t>
            </w: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660" w:type="pct"/>
            <w:tmTcPr id="1734424357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3280" w:type="pct"/>
            <w:tmTcPr id="1734424357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  <w:t xml:space="preserve">Общий объем финансирования подпрограммы составляет 122,0 тыс. рублей, 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  <w:t>в том числе из средств бюджета сельского поселения: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в 2019 году – 8,0 тыс.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2020 году – 5,3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2021 году – 12,0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2022 году – 2,2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2023 году – 3,2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2024 году – 2,5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2025 году – 13,5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2026 году – 13,5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2027 году – 15,2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2028 году – 15,2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2029 году – 15,2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2030 году – 15,2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color w:val="auto"/>
                <w:szCs w:val="28"/>
              </w:rPr>
              <w:t>.».</w:t>
            </w:r>
          </w:p>
        </w:tc>
      </w:tr>
    </w:tbl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</w:t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ab/>
        <w:t>1.3. В паспорт подпрограммы «Защита населения от чрезвычайных ситуаций</w:t>
      </w:r>
      <w:r>
        <w:rPr>
          <w:rFonts w:ascii="Times New Roman" w:hAnsi="Times New Roman"/>
          <w:szCs w:val="28"/>
        </w:rPr>
        <w:t>» внести следующие изменения: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подпункт «Ресурсное обеспечение подпрограммы» изложить в следующей редакции:</w:t>
      </w:r>
      <w:r>
        <w:rPr>
          <w:rFonts w:ascii="Times New Roman" w:hAnsi="Times New Roman"/>
          <w:color w:val="auto"/>
          <w:kern w:val="1"/>
          <w:szCs w:val="28"/>
        </w:rPr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</w:t>
      </w:r>
    </w:p>
    <w:tbl>
      <w:tblPr>
        <w:tblStyle w:val="NormalTable"/>
        <w:name w:val="Таблица4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2798"/>
        <w:gridCol w:w="7091"/>
      </w:tblGrid>
      <w:tr>
        <w:trPr>
          <w:cantSplit w:val="0"/>
          <w:trHeight w:val="0" w:hRule="auto"/>
        </w:trPr>
        <w:tc>
          <w:tcPr>
            <w:tcW w:w="2798" w:type="dxa"/>
            <w:shd w:val="none"/>
            <w:tmTcPr id="1734424357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«Ресурсное обеспечение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подпрограммы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7091" w:type="dxa"/>
            <w:shd w:val="none"/>
            <w:tmTcPr id="1734424357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  <w:t xml:space="preserve">Общий объем финансирования подпрограммы составляет 96,4 тыс. рублей, 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  <w:t>в том числе из средств бюджета сельского поселения:</w:t>
            </w:r>
            <w:r>
              <w:rPr>
                <w:rFonts w:ascii="Times New Roman" w:hAnsi="Times New Roman"/>
                <w:color w:val="auto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в 2019 году – 8,3 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1,0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2021 году – 10,1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1,0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1,0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1,0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2025 году – 11,0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2026 году – 11,0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2027 году – 13,0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2028 году – 13,0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2029 году – 13,0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2030 году – 13,0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рублей.».</w:t>
            </w:r>
          </w:p>
        </w:tc>
      </w:tr>
    </w:tbl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1.4. В паспорт подпрограммы «</w:t>
      </w:r>
      <w:r>
        <w:rPr>
          <w:rFonts w:ascii="Times New Roman" w:hAnsi="Times New Roman"/>
          <w:color w:val="auto"/>
          <w:kern w:val="1"/>
          <w:szCs w:val="28"/>
        </w:rPr>
        <w:t>Обеспечение безопасности на воде</w:t>
      </w:r>
      <w:r>
        <w:rPr>
          <w:rFonts w:ascii="Times New Roman" w:hAnsi="Times New Roman"/>
          <w:szCs w:val="28"/>
        </w:rPr>
        <w:t>» внести следующие изменения: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подпункт «Ресурсное обеспечение подпрограммы» изложить в следующей редакции:</w:t>
      </w:r>
      <w:r>
        <w:rPr>
          <w:rFonts w:ascii="Times New Roman" w:hAnsi="Times New Roman"/>
          <w:color w:val="auto"/>
          <w:kern w:val="1"/>
          <w:szCs w:val="28"/>
        </w:rPr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</w:t>
      </w:r>
    </w:p>
    <w:tbl>
      <w:tblPr>
        <w:tblStyle w:val="NormalTable"/>
        <w:name w:val="Таблица5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2798"/>
        <w:gridCol w:w="7091"/>
      </w:tblGrid>
      <w:tr>
        <w:trPr>
          <w:cantSplit w:val="0"/>
          <w:trHeight w:val="0" w:hRule="auto"/>
        </w:trPr>
        <w:tc>
          <w:tcPr>
            <w:tcW w:w="2798" w:type="dxa"/>
            <w:shd w:val="none"/>
            <w:tmTcPr id="1734424357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«Ресурсное обеспечение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подпрограммы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7091" w:type="dxa"/>
            <w:shd w:val="none"/>
            <w:tmTcPr id="1734424357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  <w:t xml:space="preserve">Общий объем финансирования подпрограммы составляет 11,5 тыс. рублей, 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  <w:t>в том числе из средств бюджета сельского поселения: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в 2019 году – 1,0 тыс.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2020 году – 0,5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2021 году – 1,0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2022 году – 1,0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2023 году – 1,0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2024 году – 1,0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2025 году – 1,0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2026 году – 1,0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2027 году – 1,0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2028 году – 1,0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2029 году – 1,0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2030 году – 1,0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рублей.».</w:t>
            </w:r>
          </w:p>
        </w:tc>
      </w:tr>
    </w:tbl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ab/>
        <w:t xml:space="preserve">1.5. Приложение № 3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</w:t>
      </w:r>
      <w:r>
        <w:rPr>
          <w:rFonts w:ascii="Times New Roman" w:hAnsi="Times New Roman"/>
          <w:color w:val="auto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</w:r>
      <w:r>
        <w:rPr>
          <w:rFonts w:ascii="Times New Roman" w:hAnsi="Times New Roman"/>
          <w:color w:val="auto"/>
          <w:szCs w:val="28"/>
        </w:rPr>
        <w:t>Федосеевского</w:t>
      </w:r>
      <w:r>
        <w:rPr>
          <w:rFonts w:ascii="Times New Roman" w:hAnsi="Times New Roman"/>
          <w:color w:val="auto"/>
          <w:szCs w:val="28"/>
        </w:rPr>
        <w:t xml:space="preserve"> сельского поселения</w:t>
      </w:r>
      <w:r>
        <w:rPr>
          <w:rFonts w:ascii="Times New Roman" w:hAnsi="Times New Roman"/>
          <w:szCs w:val="28"/>
        </w:rPr>
        <w:t>» изложить в редакции согласно приложению № 1  к настоящему постановлению.</w:t>
      </w:r>
      <w:r>
        <w:rPr>
          <w:rFonts w:ascii="Times New Roman" w:hAnsi="Times New Roman"/>
          <w:color w:val="auto"/>
          <w:szCs w:val="28"/>
        </w:rPr>
      </w:r>
    </w:p>
    <w:p>
      <w:pPr>
        <w:suppressAutoHyphens/>
        <w:hyphenationLines w:val="0"/>
        <w:tabs defTabSz="720">
          <w:tab w:val="left" w:pos="426" w:leader="none"/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1.6. Приложение № 4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</w:t>
      </w:r>
      <w:r>
        <w:rPr>
          <w:rFonts w:ascii="Times New Roman" w:hAnsi="Times New Roman"/>
          <w:color w:val="auto"/>
          <w:szCs w:val="28"/>
        </w:rPr>
        <w:t xml:space="preserve">Защита населения и территории от чрезвычайных </w:t>
      </w:r>
      <w:r>
        <w:rPr>
          <w:rFonts w:ascii="Times New Roman" w:hAnsi="Times New Roman"/>
          <w:color w:val="auto"/>
          <w:szCs w:val="28"/>
        </w:rPr>
        <w:t xml:space="preserve">ситуаций, обеспечение пожарной безопасности и безопасности людей на водных объектах на территории </w:t>
      </w:r>
      <w:r>
        <w:rPr>
          <w:rFonts w:ascii="Times New Roman" w:hAnsi="Times New Roman"/>
          <w:color w:val="auto"/>
          <w:szCs w:val="28"/>
        </w:rPr>
        <w:t>Федосеевского</w:t>
      </w:r>
      <w:r>
        <w:rPr>
          <w:rFonts w:ascii="Times New Roman" w:hAnsi="Times New Roman"/>
          <w:color w:val="auto"/>
          <w:szCs w:val="28"/>
        </w:rPr>
        <w:t xml:space="preserve"> сельского поселения</w:t>
      </w:r>
      <w:r>
        <w:rPr>
          <w:rFonts w:ascii="Times New Roman" w:hAnsi="Times New Roman"/>
          <w:szCs w:val="28"/>
        </w:rPr>
        <w:t>» изложить в редакции согласно приложению № 2  к настоящему постановлению.</w:t>
      </w:r>
      <w:r>
        <w:rPr>
          <w:rFonts w:ascii="Times New Roman" w:hAnsi="Times New Roman"/>
          <w:color w:val="auto"/>
          <w:szCs w:val="28"/>
        </w:rPr>
      </w:r>
    </w:p>
    <w:p>
      <w:pPr>
        <w:ind w:firstLine="705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2. Постановление вступает в силу со дня его официального обнародования.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Глава Администрации</w:t>
      </w:r>
      <w:r>
        <w:rPr>
          <w:rFonts w:ascii="Times New Roman" w:hAnsi="Times New Roman"/>
          <w:sz w:val="22"/>
        </w:rPr>
      </w:r>
    </w:p>
    <w:p>
      <w:pPr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Федосеевского сельского поселения                                        А.Р. Ткаченко</w:t>
      </w:r>
      <w:r>
        <w:rPr>
          <w:rFonts w:ascii="Times New Roman" w:hAnsi="Times New Roman"/>
          <w:sz w:val="22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Постановление вносит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сектор экономики и финансов</w:t>
      </w:r>
      <w:r>
        <w:rPr>
          <w:rFonts w:ascii="Times New Roman" w:hAnsi="Times New Roman"/>
          <w:sz w:val="22"/>
        </w:rPr>
      </w:r>
    </w:p>
    <w:p>
      <w:pPr>
        <w:rPr>
          <w:rFonts w:ascii="Calibri&quot;" w:hAnsi="Calibri&quot;"/>
          <w:sz w:val="22"/>
        </w:rPr>
      </w:pPr>
      <w:r>
        <w:rPr>
          <w:rFonts w:ascii="Calibri&quot;" w:hAnsi="Calibri&quot;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type w:val="nextPage"/>
          <w:pgSz w:h="16838" w:w="11906"/>
          <w:pgMar w:left="1701" w:top="1134" w:right="567" w:bottom="1134" w:footer="0"/>
          <w:paperSrc w:first="0" w:other="0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.12.2024 №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bCs/>
          <w:color w:val="auto"/>
          <w:kern w:val="1"/>
          <w:szCs w:val="28"/>
        </w:rPr>
      </w:pPr>
      <w:r>
        <w:rPr>
          <w:rFonts w:ascii="Times New Roman" w:hAnsi="Times New Roman"/>
          <w:bCs/>
          <w:color w:val="auto"/>
          <w:kern w:val="1"/>
          <w:szCs w:val="28"/>
        </w:rPr>
        <w:t>бюджета сельского поселения на реализацию муниципальной программы Федосеевского сельского поселения «</w:t>
      </w:r>
      <w:r>
        <w:rPr>
          <w:rFonts w:ascii="Times New Roman" w:hAnsi="Times New Roman"/>
          <w:color w:val="auto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>
        <w:rPr>
          <w:rFonts w:ascii="Times New Roman" w:hAnsi="Times New Roman"/>
          <w:bCs/>
          <w:color w:val="auto"/>
          <w:kern w:val="1"/>
          <w:szCs w:val="28"/>
        </w:rPr>
        <w:t xml:space="preserve">» </w:t>
      </w:r>
      <w:r>
        <w:rPr>
          <w:rFonts w:ascii="Times New Roman" w:hAnsi="Times New Roman"/>
          <w:bCs/>
          <w:color w:val="auto"/>
          <w:kern w:val="1"/>
          <w:szCs w:val="28"/>
        </w:rPr>
      </w:r>
    </w:p>
    <w:p>
      <w:pPr>
        <w:spacing/>
        <w:jc w:val="center"/>
      </w:pPr>
      <w:r/>
    </w:p>
    <w:tbl>
      <w:tblPr>
        <w:tblStyle w:val="NormalTable"/>
        <w:name w:val="Таблица6"/>
        <w:tabOrder w:val="0"/>
        <w:jc w:val="left"/>
        <w:tblInd w:w="-181" w:type="dxa"/>
        <w:tblW w:w="15648" w:type="dxa"/>
        <w:tblLook w:val="0000" w:firstRow="0" w:lastRow="0" w:firstColumn="0" w:lastColumn="0" w:noHBand="0" w:noVBand="0"/>
      </w:tblPr>
      <w:tblGrid>
        <w:gridCol w:w="1888"/>
        <w:gridCol w:w="1843"/>
        <w:gridCol w:w="709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9"/>
      </w:tblGrid>
      <w:tr>
        <w:trPr>
          <w:cantSplit w:val="0"/>
          <w:trHeight w:val="0" w:hRule="auto"/>
        </w:trPr>
        <w:tc>
          <w:tcPr>
            <w:tcW w:w="188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подпрограммы, основного мероприятия, приоритетного основного мероприятия </w:t>
            </w:r>
          </w:p>
        </w:tc>
        <w:tc>
          <w:tcPr>
            <w:tcW w:w="184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2693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w="709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расхо-дов, всего</w:t>
            </w:r>
          </w:p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  <w:tc>
          <w:tcPr>
            <w:tcW w:w="8515" w:type="dxa"/>
            <w:gridSpan w:val="1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по годам реализации муниципальной программы 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184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70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                                            в том числе: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238,9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Администрация Федосеевского сельского поселения;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238,9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«Пожарная безопасность» 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1.1.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0210026380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1.2.</w:t>
            </w:r>
            <w:r>
              <w:rPr>
                <w:rFonts w:ascii="Times New Roman" w:hAnsi="Times New Roman"/>
                <w:bCs/>
                <w:sz w:val="20"/>
              </w:rPr>
              <w:t xml:space="preserve"> Дооснащение  современным противопожарным инвентарем, первичными средствами пожаротушения и улучшение противопожарной защищенности подведомственных объектов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Федосеевского сельского поселения;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0210026060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1.3. Дооснащение  современным оборудованием, снаряжением муниципальной добровольной пожарной дружины сельского поселения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0210026070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ОМ 1.4.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Поддержка добровольных пожарных дружины (команд) на территории Федосеевского сельского поселения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0210026330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>
        <w:trPr>
          <w:cantSplit w:val="0"/>
          <w:trHeight w:val="988" w:hRule="atLeast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kern w:val="1"/>
                <w:sz w:val="20"/>
              </w:rPr>
              <w:t>Защита населения от чрезвычайных ситуаций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  <w:r>
              <w:rPr>
                <w:rFonts w:ascii="Times New Roman" w:hAnsi="Times New Roman"/>
                <w:kern w:val="1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ОМ 2.1. </w:t>
            </w:r>
            <w:r>
              <w:rPr>
                <w:rFonts w:ascii="Times New Roman" w:hAnsi="Times New Roman"/>
                <w:bCs/>
                <w:kern w:val="1"/>
                <w:sz w:val="20"/>
              </w:rPr>
              <w:t>Поддержание в постоянной готовности муниципальной системы оповещения населения Федосеевского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2.2.</w:t>
              <w:br w:type="textWrapping"/>
            </w:r>
            <w:r>
              <w:rPr>
                <w:rFonts w:ascii="Times New Roman" w:hAnsi="Times New Roman"/>
                <w:bCs/>
                <w:kern w:val="1"/>
                <w:sz w:val="20"/>
              </w:rPr>
              <w:t>Предупреждение чрезвычайных ситу</w:t>
              <w:softHyphen/>
              <w:t>аций и пропаганда среди населения без</w:t>
              <w:softHyphen/>
              <w:t>опасности жизнедея</w:t>
              <w:softHyphen/>
              <w:t>тельности и обуче</w:t>
              <w:softHyphen/>
              <w:t>ние действиям при возникновении чрез</w:t>
              <w:softHyphen/>
              <w:t>вычайных ситуаций, распространением памяток, листовок, плакатов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0220026090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2.3.</w:t>
            </w:r>
            <w:r>
              <w:rPr>
                <w:rFonts w:ascii="Times New Roman" w:hAnsi="Times New Roman"/>
                <w:bCs/>
                <w:sz w:val="20"/>
              </w:rPr>
              <w:t xml:space="preserve"> Организация сезонных наблюдений</w:t>
            </w:r>
            <w:r>
              <w:rPr>
                <w:rFonts w:ascii="Times New Roman" w:hAnsi="Times New Roman"/>
                <w:sz w:val="20"/>
              </w:rPr>
              <w:t xml:space="preserve"> гидрологического поста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0220026100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75,8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2.3.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Поддержание в постоянной готовности источника резервного автономного электроснабжения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0220026420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 «</w:t>
            </w:r>
            <w:r>
              <w:rPr>
                <w:rFonts w:ascii="Times New Roman" w:hAnsi="Times New Roman"/>
                <w:kern w:val="1"/>
                <w:sz w:val="20"/>
              </w:rPr>
              <w:t>Обеспечение безопасности на воде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  <w:r>
              <w:rPr>
                <w:rFonts w:ascii="Times New Roman" w:hAnsi="Times New Roman"/>
                <w:kern w:val="1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  <w:p>
            <w:pPr>
              <w:ind w:left="-11" w:right="-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ОМ 3.1. </w:t>
            </w:r>
            <w:r>
              <w:rPr>
                <w:rFonts w:ascii="Times New Roman" w:hAnsi="Times New Roman"/>
                <w:bCs/>
                <w:kern w:val="1"/>
                <w:sz w:val="20"/>
              </w:rPr>
              <w:t>Предупреждение несчастных случаев на водоемах сельского поселения и пропаганда среди населения  по безопасности поведения на воде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0230026110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  <w:p>
            <w:pPr>
              <w:ind w:left="-11" w:right="-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</w:tbl>
    <w:p>
      <w:pPr>
        <w:ind w:firstLine="709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sz w:val="22"/>
          <w:szCs w:val="22"/>
        </w:rPr>
        <w:br w:type="textWrapping"/>
        <w:tab/>
      </w:r>
      <w:r>
        <w:rPr>
          <w:rFonts w:ascii="Times New Roman" w:hAnsi="Times New Roman"/>
          <w:color w:val="auto"/>
          <w:kern w:val="1"/>
          <w:sz w:val="20"/>
        </w:rPr>
        <w:t>Примечание.</w:t>
      </w:r>
      <w:r>
        <w:rPr>
          <w:rFonts w:ascii="Times New Roman" w:hAnsi="Times New Roman"/>
          <w:color w:val="auto"/>
          <w:kern w:val="1"/>
          <w:sz w:val="20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color w:val="auto"/>
          <w:kern w:val="1"/>
          <w:sz w:val="20"/>
        </w:rPr>
        <w:t>Используемые сокращения:</w:t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color w:val="auto"/>
          <w:kern w:val="1"/>
          <w:sz w:val="20"/>
        </w:rPr>
        <w:t>муниципальная программа – 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поселения»;</w:t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color w:val="auto"/>
          <w:kern w:val="1"/>
          <w:sz w:val="20"/>
        </w:rPr>
        <w:t>ГРБС – главный распорядитель бюджетных средств;</w:t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color w:val="auto"/>
          <w:kern w:val="1"/>
          <w:sz w:val="20"/>
        </w:rPr>
        <w:t>РзПр – раздел, подраздел;</w:t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color w:val="auto"/>
          <w:kern w:val="1"/>
          <w:sz w:val="20"/>
        </w:rPr>
        <w:t>ЦСР – целевая статья расходов;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 w:val="20"/>
        </w:rPr>
        <w:t xml:space="preserve">           ВР – вид расходов.</w:t>
      </w:r>
      <w:r>
        <w:rPr>
          <w:rFonts w:ascii="Times New Roman" w:hAnsi="Times New Roman"/>
          <w:color w:val="auto"/>
          <w:kern w:val="1"/>
          <w:szCs w:val="28"/>
        </w:rPr>
      </w:r>
    </w:p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widowControl w:val="0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zCs w:val="28"/>
        </w:rPr>
        <w:t xml:space="preserve">        Специалист первой категории по общим вопросам</w:t>
        <w:tab/>
        <w:tab/>
        <w:tab/>
        <w:t xml:space="preserve">                                          М.В. </w:t>
      </w:r>
      <w:r>
        <w:rPr>
          <w:rFonts w:ascii="Times New Roman" w:hAnsi="Times New Roman"/>
          <w:szCs w:val="28"/>
        </w:rPr>
        <w:t>Санжарова</w:t>
      </w: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</w:t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Приложение №2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.12.2024 № </w:t>
      </w:r>
      <w:r>
        <w:rPr>
          <w:rFonts w:ascii="Times New Roman" w:hAnsi="Times New Roman"/>
        </w:rPr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eastAsia="Calibri"/>
          <w:kern w:val="1"/>
          <w:szCs w:val="28"/>
        </w:rPr>
      </w:pPr>
      <w:r>
        <w:rPr>
          <w:rFonts w:eastAsia="Calibri"/>
          <w:kern w:val="1"/>
          <w:szCs w:val="28"/>
        </w:rPr>
        <w:t>на реализацию 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</w:r>
    </w:p>
    <w:p>
      <w:pPr>
        <w:spacing/>
        <w:jc w:val="center"/>
      </w:pPr>
      <w:r/>
    </w:p>
    <w:tbl>
      <w:tblPr>
        <w:tblStyle w:val="NormalTable"/>
        <w:name w:val="Таблица7"/>
        <w:tabOrder w:val="0"/>
        <w:jc w:val="left"/>
        <w:tblInd w:w="194" w:type="dxa"/>
        <w:tblW w:w="15173" w:type="dxa"/>
        <w:tblLook w:val="0000" w:firstRow="0" w:lastRow="0" w:firstColumn="0" w:lastColumn="0" w:noHBand="0" w:noVBand="0"/>
      </w:tblPr>
      <w:tblGrid>
        <w:gridCol w:w="3100"/>
        <w:gridCol w:w="2098"/>
        <w:gridCol w:w="664"/>
        <w:gridCol w:w="22"/>
        <w:gridCol w:w="751"/>
        <w:gridCol w:w="22"/>
        <w:gridCol w:w="751"/>
        <w:gridCol w:w="22"/>
        <w:gridCol w:w="751"/>
        <w:gridCol w:w="22"/>
        <w:gridCol w:w="752"/>
        <w:gridCol w:w="22"/>
        <w:gridCol w:w="751"/>
        <w:gridCol w:w="22"/>
        <w:gridCol w:w="751"/>
        <w:gridCol w:w="22"/>
        <w:gridCol w:w="751"/>
        <w:gridCol w:w="22"/>
        <w:gridCol w:w="752"/>
        <w:gridCol w:w="22"/>
        <w:gridCol w:w="751"/>
        <w:gridCol w:w="22"/>
        <w:gridCol w:w="751"/>
        <w:gridCol w:w="22"/>
        <w:gridCol w:w="751"/>
        <w:gridCol w:w="22"/>
        <w:gridCol w:w="762"/>
        <w:gridCol w:w="22"/>
      </w:tblGrid>
      <w:tr>
        <w:trPr>
          <w:tblHeader/>
          <w:cantSplit w:val="0"/>
          <w:trHeight w:val="0" w:hRule="auto"/>
        </w:trPr>
        <w:tc>
          <w:tcPr>
            <w:tcW w:w="3100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098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Источники</w:t>
            </w:r>
          </w:p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финансирования</w:t>
            </w:r>
          </w:p>
        </w:tc>
        <w:tc>
          <w:tcPr>
            <w:tcW w:w="686" w:type="dxa"/>
            <w:gridSpan w:val="2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Объем расхо-дов, всего</w:t>
            </w:r>
          </w:p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(тыс. руб.)</w:t>
            </w:r>
          </w:p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289" w:type="dxa"/>
            <w:gridSpan w:val="24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 по годам реализации муниципальной программы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098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686" w:type="dxa"/>
            <w:gridSpan w:val="2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2019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2021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2024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2025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2026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2027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2028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2029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2030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/>
          <w:cantSplit w:val="0"/>
          <w:trHeight w:val="260" w:hRule="atLeast"/>
        </w:trPr>
        <w:tc>
          <w:tcPr>
            <w:tcW w:w="311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</w:t>
            </w:r>
          </w:p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2</w:t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4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6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7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8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9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11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14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77" w:hRule="atLeast"/>
        </w:trPr>
        <w:tc>
          <w:tcPr>
            <w:tcW w:w="3115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bCs/>
                <w:sz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249,9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249,9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безвозмездные поступления в бюджет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 за счет средств: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66" w:hRule="atLeast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областного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бюджета района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внебюджетные источники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kern w:val="1"/>
                <w:sz w:val="20"/>
              </w:rPr>
              <w:t>Пожарная безопасность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безвозмездные поступления в бюджет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 за счет средств: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областного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бюджета района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внебюджетные источники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2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kern w:val="1"/>
                <w:sz w:val="20"/>
              </w:rPr>
              <w:t>Защита населения от чрезвычайных ситуаций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96,4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96,4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безвозмездные поступления в бюджет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 за счет средств: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областного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бюджета района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внебюджетные источники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kern w:val="1"/>
                <w:sz w:val="20"/>
              </w:rPr>
              <w:t>Обеспечение безопасности на воде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  <w:p>
            <w:pPr>
              <w:ind w:left="-11" w:right="-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безвозмездные поступления в бюджет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 за счет средств: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областного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бюджета района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1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/>
        </w:tc>
        <w:tc>
          <w:tcPr>
            <w:tcW w:w="210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внебюджетные источники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35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Специалист первой категории по общим вопросам</w:t>
        <w:tab/>
        <w:tab/>
        <w:tab/>
        <w:t xml:space="preserve">                                               М.В. Санжарова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0"/>
      <w:footerReference w:type="default" r:id="rId11"/>
      <w:type w:val="nextPage"/>
      <w:pgSz w:h="11906" w:w="16838" w:orient="landscape"/>
      <w:pgMar w:left="1134" w:top="709" w:right="567" w:bottom="709" w:footer="284"/>
      <w:paperSrc w:first="0" w:other="0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  <w:font w:name="Calibri&quot;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/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/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WW8Num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2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5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4097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2"/>
      <w:tmLastPosIdx w:val="2"/>
    </w:tmLastPosCaret>
    <w:tmLastPosAnchor>
      <w:tmLastPosPgfIdx w:val="0"/>
      <w:tmLastPosIdx w:val="0"/>
    </w:tmLastPosAnchor>
    <w:tmLastPosTblRect w:left="0" w:top="0" w:right="0" w:bottom="0"/>
  </w:tmLastPos>
  <w:tmAppRevision w:date="1734424357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dcterms:created xsi:type="dcterms:W3CDTF">2023-06-21T08:31:00Z</dcterms:created>
  <dcterms:modified xsi:type="dcterms:W3CDTF">2024-12-17T08:32:37Z</dcterms:modified>
</cp:coreProperties>
</file>