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ODR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2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№99 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03.12.2024</w:t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608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внесении изменений в постановление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Федосеевского сельского поселения от </w:t>
            </w:r>
            <w:r>
              <w:rPr>
                <w:rFonts w:ascii="Times New Roman" w:hAnsi="Times New Roman"/>
                <w:color w:val="auto"/>
                <w:szCs w:val="28"/>
              </w:rPr>
              <w:t>18.04.2019 № 28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3608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szCs w:val="28"/>
        </w:rPr>
        <w:t xml:space="preserve">муниципальной программы </w:t>
      </w:r>
      <w:r>
        <w:rPr>
          <w:rFonts w:ascii="Times New Roman" w:hAnsi="Times New Roman"/>
          <w:szCs w:val="28"/>
        </w:rPr>
        <w:t>Федосеевского</w:t>
      </w:r>
      <w:r>
        <w:rPr>
          <w:rFonts w:ascii="Times New Roman" w:hAnsi="Times New Roman"/>
          <w:szCs w:val="28"/>
        </w:rPr>
        <w:t xml:space="preserve">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auto"/>
          <w:szCs w:val="28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 w:val="24"/>
          <w:szCs w:val="24"/>
          <w:lang w:eastAsia="zh-cn"/>
        </w:rPr>
      </w:r>
    </w:p>
    <w:p>
      <w:pPr>
        <w:numPr>
          <w:ilvl w:val="0"/>
          <w:numId w:val="4"/>
        </w:numPr>
        <w:ind w:left="0" w:firstLine="709"/>
        <w:tabs defTabSz="720"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Внести в приложение к постановлению Администрации Федосеевского сельского поселения от 18.04.2019 № 28 «Об утверждении муниципальной программы Федосеевского сельского поселения </w:t>
      </w:r>
      <w:r>
        <w:rPr>
          <w:rFonts w:ascii="Times New Roman" w:hAnsi="Times New Roman"/>
          <w:b/>
          <w:color w:val="auto"/>
          <w:szCs w:val="28"/>
        </w:rPr>
        <w:t>«</w:t>
      </w:r>
      <w:r/>
      <w:bookmarkStart w:id="0" w:name="_Hlk155703514"/>
      <w:bookmarkEnd w:id="0"/>
      <w:r/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/>
          <w:color w:val="auto"/>
          <w:szCs w:val="28"/>
        </w:rPr>
        <w:t>»</w:t>
      </w:r>
      <w:r>
        <w:rPr>
          <w:rFonts w:ascii="Times New Roman" w:hAnsi="Times New Roman"/>
          <w:color w:val="auto"/>
          <w:szCs w:val="28"/>
        </w:rPr>
        <w:t xml:space="preserve"> следующие изменения:</w:t>
      </w:r>
      <w:r>
        <w:rPr>
          <w:rFonts w:ascii="Times New Roman" w:hAnsi="Times New Roman"/>
          <w:color w:val="auto"/>
          <w:szCs w:val="28"/>
        </w:rPr>
      </w:r>
    </w:p>
    <w:p>
      <w:pPr>
        <w:numPr>
          <w:ilvl w:val="1"/>
          <w:numId w:val="4"/>
        </w:numPr>
        <w:ind w:left="0" w:firstLine="709"/>
        <w:tabs defTabSz="720">
          <w:tab w:val="left" w:pos="709" w:leader="none"/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В паспорте муниципальной программы Федосеевского сельского поселения «Об утверждении муниципальной программы Федосеевского сельского поселения </w:t>
      </w:r>
      <w:r>
        <w:rPr>
          <w:rFonts w:ascii="Times New Roman" w:hAnsi="Times New Roman"/>
          <w:b/>
          <w:color w:val="auto"/>
          <w:szCs w:val="28"/>
        </w:rPr>
        <w:t>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/>
          <w:color w:val="auto"/>
          <w:szCs w:val="28"/>
        </w:rPr>
        <w:t>»</w:t>
      </w:r>
      <w:r>
        <w:rPr>
          <w:rFonts w:ascii="Times New Roman" w:hAnsi="Times New Roman"/>
          <w:color w:val="auto"/>
          <w:szCs w:val="28"/>
        </w:rPr>
        <w:t xml:space="preserve"> пункт «Ресурсное обеспечение муниципальной программы» изложить в редакции:</w:t>
      </w:r>
      <w:r>
        <w:rPr>
          <w:rFonts w:ascii="Times New Roman" w:hAnsi="Times New Roman"/>
          <w:color w:val="auto"/>
          <w:szCs w:val="28"/>
        </w:rPr>
      </w:r>
    </w:p>
    <w:tbl>
      <w:tblPr>
        <w:tblStyle w:val="NormalTable"/>
        <w:name w:val="Таблица3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3608" protected="0"/>
          </w:tcPr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 xml:space="preserve">объем финансового обеспечения реализации муниципальной программы </w:t>
            </w:r>
          </w:p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>за 2019 - 2030 годы – 7 047,0 тыс. рублей,</w:t>
            </w:r>
          </w:p>
          <w:tbl>
            <w:tblPr>
              <w:tblStyle w:val="NormalTable"/>
              <w:name w:val="Таблица2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spacing/>
                    <w:jc w:val="left"/>
                    <w:rPr>
                      <w:rFonts w:ascii="Times New Roman" w:hAnsi="Times New Roman" w:eastAsia="Calibri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в том числе средства бюджета Федосеевского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7 047,0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тыс. рублей: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2019 год −  115,3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2020 год −  320,5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2021 год −  394,4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2022 год −  684,4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2023 год −  672,0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2024 год −  794,0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2025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2026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2027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2028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2029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2030 год −  672,0  тыс. рублей.».</w:t>
                  </w:r>
                </w:p>
              </w:tc>
            </w:tr>
          </w:tbl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ind w:firstLine="567"/>
        <w:tabs defTabSz="720">
          <w:tab w:val="left" w:pos="993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p>
      <w:pPr>
        <w:ind w:firstLine="567"/>
        <w:tabs defTabSz="720">
          <w:tab w:val="left" w:pos="993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1.2. В п</w:t>
      </w:r>
      <w:r>
        <w:rPr>
          <w:rFonts w:ascii="Times New Roman" w:hAnsi="Times New Roman"/>
          <w:szCs w:val="28"/>
        </w:rPr>
        <w:t>аспорте подпрограммы  «</w:t>
      </w:r>
      <w:r>
        <w:rPr>
          <w:rFonts w:ascii="Times New Roman" w:hAnsi="Times New Roman"/>
          <w:color w:val="auto"/>
          <w:szCs w:val="28"/>
        </w:rPr>
        <w:t>Социальная поддержка отдельных категорий граждан» изложить в следующей редакции:</w:t>
      </w:r>
      <w:r>
        <w:rPr>
          <w:rFonts w:ascii="Times New Roman" w:hAnsi="Times New Roman"/>
          <w:szCs w:val="28"/>
        </w:rPr>
      </w:r>
    </w:p>
    <w:tbl>
      <w:tblPr>
        <w:tblStyle w:val="NormalTable"/>
        <w:name w:val="Таблица5"/>
        <w:tabOrder w:val="0"/>
        <w:jc w:val="center"/>
        <w:tblInd w:w="0" w:type="dxa"/>
        <w:tblW w:w="9678" w:type="dxa"/>
        <w:tblLook w:val="00A0" w:firstRow="1" w:lastRow="0" w:firstColumn="1" w:lastColumn="0" w:noHBand="0" w:noVBand="0"/>
      </w:tblPr>
      <w:tblGrid>
        <w:gridCol w:w="3304"/>
        <w:gridCol w:w="6374"/>
      </w:tblGrid>
      <w:tr>
        <w:trPr>
          <w:cantSplit w:val="0"/>
          <w:trHeight w:val="0" w:hRule="auto"/>
        </w:trPr>
        <w:tc>
          <w:tcPr>
            <w:tcW w:w="3304" w:type="dxa"/>
            <w:tcMar>
              <w:left w:w="28" w:type="dxa"/>
              <w:right w:w="28" w:type="dxa"/>
            </w:tcMar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обеспечение подпрограммы 1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374" w:type="dxa"/>
            <w:tcMar>
              <w:left w:w="28" w:type="dxa"/>
              <w:right w:w="28" w:type="dxa"/>
            </w:tcMar>
            <w:tmTcPr id="1734423608" protected="0"/>
          </w:tcPr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Cs w:val="28"/>
              </w:rPr>
              <w:t xml:space="preserve">объем финансового обеспечения реализации муниципальной программы </w:t>
            </w:r>
            <w:r>
              <w:rPr>
                <w:rFonts w:ascii="Times New Roman" w:hAnsi="Times New Roman" w:eastAsia="Calibri"/>
                <w:color w:val="auto"/>
                <w:szCs w:val="28"/>
              </w:rPr>
            </w:r>
          </w:p>
          <w:p>
            <w:pPr>
              <w:rPr>
                <w:rFonts w:ascii="Times New Roman" w:hAnsi="Times New Roman" w:eastAsia="Calibri"/>
                <w:color w:val="auto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Cs w:val="28"/>
              </w:rPr>
              <w:t>за 2019 - 2030 годы – 7 047,0 тыс. рублей,</w:t>
            </w:r>
          </w:p>
          <w:tbl>
            <w:tblPr>
              <w:tblStyle w:val="NormalTable"/>
              <w:name w:val="Таблица4"/>
              <w:tabOrder w:val="0"/>
              <w:jc w:val="left"/>
              <w:tblInd w:w="0" w:type="dxa"/>
              <w:tblW w:w="7110" w:type="dxa"/>
              <w:tblLook w:val="04A0" w:firstRow="1" w:lastRow="0" w:firstColumn="1" w:lastColumn="0" w:noHBand="0" w:noVBand="1"/>
            </w:tblPr>
            <w:tblGrid>
              <w:gridCol w:w="7110"/>
            </w:tblGrid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spacing/>
                    <w:jc w:val="left"/>
                    <w:rPr>
                      <w:rFonts w:ascii="Times New Roman" w:hAnsi="Times New Roman" w:eastAsia="Calibri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в том числе средства бюджета Федосеевского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eastAsia="Calibri"/>
                      <w:color w:val="auto"/>
                      <w:szCs w:val="28"/>
                    </w:rPr>
                    <w:t xml:space="preserve">7 047,0 </w:t>
                  </w: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тыс. рублей: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2019 год −  115,3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2020 год −  320,5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2021 год −  394,4  тыс. рублей;</w:t>
                  </w:r>
                </w:p>
              </w:tc>
            </w:tr>
            <w:tr>
              <w:trPr>
                <w:cantSplit w:val="0"/>
                <w:trHeight w:val="0" w:hRule="auto"/>
              </w:trPr>
              <w:tc>
                <w:tcPr>
                  <w:tcW w:w="7110" w:type="dxa"/>
                  <w:tmTcPr id="1734423608" protected="0"/>
                </w:tcPr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2022 год −  684,4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2023 год −  672,0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2024 год −  794,0  тыс. рублей;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2025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2026 год −  689,2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2027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2028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 xml:space="preserve">2029 год −  672,0  тыс. рублей; </w:t>
                  </w:r>
                </w:p>
                <w:p>
                  <w:pPr>
                    <w:rPr>
                      <w:rFonts w:ascii="Times New Roman" w:hAnsi="Times New Roman"/>
                      <w:color w:val="auto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Cs w:val="28"/>
                    </w:rPr>
                    <w:t>2030 год −  672,0  тыс. рублей.».</w:t>
                  </w:r>
                </w:p>
              </w:tc>
            </w:tr>
          </w:tbl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1.3. Таблицу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 w:eastAsia="Calibri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>» изложить в редакции согласно приложению 1  к настоящему постановлению.</w:t>
      </w: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     1.4. Таблицу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 w:eastAsia="Calibri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szCs w:val="28"/>
        </w:rPr>
        <w:t>» изложить в редакции согласно приложению 2  к настоящему постановлению.</w:t>
      </w:r>
      <w:r>
        <w:rPr>
          <w:rFonts w:ascii="Times New Roman" w:hAnsi="Times New Roman"/>
          <w:szCs w:val="28"/>
        </w:rPr>
      </w:r>
    </w:p>
    <w:p>
      <w:pPr>
        <w:tabs defTabSz="720">
          <w:tab w:val="left" w:pos="567" w:leader="none"/>
          <w:tab w:val="left" w:pos="851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color w:val="auto"/>
          <w:szCs w:val="28"/>
        </w:rPr>
        <w:t>2. Постановление вступает в силу со дня его официального обнародования.</w:t>
      </w:r>
      <w:r>
        <w:rPr>
          <w:rFonts w:ascii="Times New Roman" w:hAnsi="Times New Roman"/>
          <w:szCs w:val="28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        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9"/>
        <w:spacing/>
        <w:jc w:val="lef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Глава Администрации</w:t>
      </w:r>
    </w:p>
    <w:p>
      <w:pPr>
        <w:ind w:firstLine="709"/>
        <w:spacing/>
        <w:jc w:val="left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szCs w:val="28"/>
        </w:rPr>
        <w:t>Федосеевского сельского поселения                                          А.Р.Ткаченко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03.12.2024 №99  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bCs/>
          <w:color w:val="auto"/>
          <w:kern w:val="1"/>
          <w:szCs w:val="28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>бюджета сельского поселения 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/>
          <w:bCs/>
          <w:color w:val="auto"/>
          <w:kern w:val="1"/>
          <w:szCs w:val="28"/>
        </w:rPr>
        <w:t xml:space="preserve">» </w:t>
      </w:r>
      <w:r>
        <w:rPr>
          <w:rFonts w:ascii="Times New Roman" w:hAnsi="Times New Roman"/>
          <w:bCs/>
          <w:color w:val="auto"/>
          <w:kern w:val="1"/>
          <w:szCs w:val="28"/>
        </w:rPr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6"/>
        <w:tabOrder w:val="0"/>
        <w:jc w:val="left"/>
        <w:tblInd w:w="217" w:type="dxa"/>
        <w:tblW w:w="15026" w:type="dxa"/>
        <w:tblLook w:val="0000" w:firstRow="0" w:lastRow="0" w:firstColumn="0" w:lastColumn="0" w:noHBand="0" w:noVBand="0"/>
      </w:tblPr>
      <w:tblGrid>
        <w:gridCol w:w="1701"/>
        <w:gridCol w:w="1559"/>
        <w:gridCol w:w="567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 w:val="0"/>
          <w:trHeight w:val="518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и наименование </w:t>
              <w:br w:type="textWrapping"/>
              <w:t>подпрограммы, основного мероприятия подпрограммы,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155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соисполнители,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участники</w:t>
            </w:r>
          </w:p>
        </w:tc>
        <w:tc>
          <w:tcPr>
            <w:tcW w:w="2552" w:type="dxa"/>
            <w:gridSpan w:val="4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  </w:t>
              <w:br w:type="textWrapping"/>
              <w:t>классификации расходов</w:t>
            </w:r>
          </w:p>
        </w:tc>
        <w:tc>
          <w:tcPr>
            <w:tcW w:w="709" w:type="dxa"/>
            <w:vMerge w:val="restart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</w:t>
              <w:br w:type="textWrapping"/>
              <w:t>(тыс. рублей),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i/>
                <w:sz w:val="20"/>
              </w:rPr>
            </w:pPr>
            <w:hyperlink w:anchor="Par866" w:history="1">
              <w:r>
                <w:rPr>
                  <w:rFonts w:ascii="Times New Roman" w:hAnsi="Times New Roman"/>
                  <w:sz w:val="20"/>
                </w:rPr>
                <w:t>&lt;1&gt;</w:t>
              </w:r>
            </w:hyperlink>
          </w:p>
        </w:tc>
        <w:tc>
          <w:tcPr>
            <w:tcW w:w="8505" w:type="dxa"/>
            <w:gridSpan w:val="12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муниципальной программы, </w:t>
            </w:r>
            <w:hyperlink w:anchor="Par871" w:history="1">
              <w:r>
                <w:rPr>
                  <w:rFonts w:ascii="Times New Roman" w:hAnsi="Times New Roman"/>
                  <w:sz w:val="20"/>
                </w:rPr>
                <w:t>&lt;2&gt;</w:t>
              </w:r>
            </w:hyperlink>
          </w:p>
        </w:tc>
      </w:tr>
      <w:tr>
        <w:trPr>
          <w:cantSplit/>
          <w:trHeight w:val="2158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1559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709" w:type="dxa"/>
            <w:vMerge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708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 w:righ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75"/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blHeader/>
          <w:cantSplit/>
          <w:trHeight w:val="0" w:hRule="auto"/>
        </w:trPr>
        <w:tc>
          <w:tcPr>
            <w:tcW w:w="170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cantSplit w:val="0"/>
          <w:trHeight w:val="540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</w:t>
              <w:br w:type="textWrapping"/>
              <w:t xml:space="preserve">программа      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hyperlink w:anchor="Par867" w:history="1">
              <w:r>
                <w:rPr>
                  <w:rFonts w:ascii="Times New Roman" w:hAnsi="Times New Roman"/>
                  <w:sz w:val="20"/>
                </w:rPr>
                <w:t>&lt;4&gt;</w:t>
              </w:r>
            </w:hyperlink>
            <w:r>
              <w:rPr>
                <w:rFonts w:ascii="Times New Roman" w:hAnsi="Times New Roman"/>
                <w:sz w:val="20"/>
              </w:rPr>
              <w:t xml:space="preserve">,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          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525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mTcPr id="1734423608" protected="0"/>
          </w:tcPr>
          <w:p/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199" w:hRule="atLeast"/>
        </w:trPr>
        <w:tc>
          <w:tcPr>
            <w:tcW w:w="1701" w:type="dxa"/>
            <w:vMerge w:val="restart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1</w:t>
            </w:r>
          </w:p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 w:eastAsia="Calibri"/>
                <w:sz w:val="20"/>
              </w:rPr>
              <w:t xml:space="preserve">Социальная </w:t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>поддержка отдельных категорий  граждан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всего,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439" w:hRule="atLeast"/>
        </w:trPr>
        <w:tc>
          <w:tcPr>
            <w:tcW w:w="1701" w:type="dxa"/>
            <w:vMerge/>
            <w:tcMar>
              <w:left w:w="75" w:type="dxa"/>
              <w:right w:w="75" w:type="dxa"/>
            </w:tcMar>
            <w:tmTcPr id="1734423608" protected="0"/>
          </w:tcPr>
          <w:p/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  <w:tr>
        <w:trPr>
          <w:cantSplit w:val="0"/>
          <w:trHeight w:val="1152" w:hRule="atLeast"/>
        </w:trPr>
        <w:tc>
          <w:tcPr>
            <w:tcW w:w="170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       </w:t>
              <w:br w:type="textWrapping"/>
              <w:t xml:space="preserve">мероприятие 1.1 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 Выплата государственной пенсии за выслугу лет лицам, замещавшим муниципальные должности  и должности муниципальной службы в Федосеевском сельском поселении</w:t>
            </w:r>
          </w:p>
        </w:tc>
        <w:tc>
          <w:tcPr>
            <w:tcW w:w="155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 основного мероприятия:</w:t>
            </w:r>
          </w:p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Федосеевского сельского поселения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951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1001</w:t>
            </w:r>
          </w:p>
        </w:tc>
        <w:tc>
          <w:tcPr>
            <w:tcW w:w="851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10100</w:t>
            </w:r>
          </w:p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 xml:space="preserve"> 26370</w:t>
            </w:r>
          </w:p>
        </w:tc>
        <w:tc>
          <w:tcPr>
            <w:tcW w:w="567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ind w:left="-108" w:right="-108"/>
              <w:spacing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spacing w:val="-20"/>
                <w:kern w:val="1"/>
                <w:sz w:val="20"/>
              </w:rPr>
              <w:t>312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115,3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320,5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394,4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684,4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689,2</w:t>
            </w:r>
          </w:p>
        </w:tc>
        <w:tc>
          <w:tcPr>
            <w:tcW w:w="708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  <w:tc>
          <w:tcPr>
            <w:tcW w:w="709" w:type="dxa"/>
            <w:tcMar>
              <w:left w:w="75" w:type="dxa"/>
              <w:right w:w="75" w:type="dxa"/>
            </w:tcMar>
            <w:tmTcPr id="1734423608" protected="0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672,0</w:t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Cs w:val="28"/>
        </w:rPr>
        <w:t xml:space="preserve">        Специалист первой категории по общим вопросам</w:t>
        <w:tab/>
        <w:tab/>
        <w:tab/>
        <w:t xml:space="preserve">                                         М.В. Санжарова</w:t>
      </w: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Приложение № 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03.12.2024 № 99  </w:t>
      </w: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 w:eastAsia="Calibri"/>
          <w:kern w:val="1"/>
          <w:szCs w:val="28"/>
        </w:rPr>
      </w:pPr>
      <w:r>
        <w:rPr>
          <w:rFonts w:ascii="Times New Roman" w:hAnsi="Times New Roman" w:eastAsia="Calibri"/>
          <w:kern w:val="1"/>
          <w:szCs w:val="28"/>
        </w:rPr>
        <w:t>на реализацию 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Социальная поддержка граждан</w:t>
      </w:r>
      <w:r>
        <w:rPr>
          <w:rFonts w:ascii="Times New Roman" w:hAnsi="Times New Roman" w:eastAsia="Calibri"/>
          <w:kern w:val="1"/>
          <w:szCs w:val="28"/>
        </w:rPr>
        <w:t>»</w:t>
      </w:r>
      <w:r>
        <w:rPr>
          <w:rFonts w:ascii="Times New Roman" w:hAnsi="Times New Roman" w:eastAsia="Calibri"/>
          <w:kern w:val="1"/>
          <w:szCs w:val="28"/>
        </w:rPr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7"/>
        <w:tabOrder w:val="0"/>
        <w:jc w:val="left"/>
        <w:tblInd w:w="108" w:type="dxa"/>
        <w:tblW w:w="14884" w:type="dxa"/>
        <w:tblLook w:val="00A0" w:firstRow="1" w:lastRow="0" w:firstColumn="1" w:lastColumn="0" w:noHBand="0" w:noVBand="0"/>
      </w:tblPr>
      <w:tblGrid>
        <w:gridCol w:w="1560"/>
        <w:gridCol w:w="204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667"/>
        <w:gridCol w:w="708"/>
        <w:gridCol w:w="709"/>
      </w:tblGrid>
      <w:tr>
        <w:trPr>
          <w:cantSplit w:val="0"/>
          <w:trHeight w:val="300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  <w:br w:type="textWrapping"/>
              <w:t>муниципальной программы, номер и наименование подпрограммы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Источники</w:t>
            </w:r>
          </w:p>
          <w:p>
            <w:pPr>
              <w:spacing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Объем расходов всего</w:t>
              <w:br w:type="textWrapping"/>
              <w:t>(тыс. рублей),</w:t>
            </w:r>
          </w:p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284" w:type="dxa"/>
            <w:gridSpan w:val="1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в том числе по годам реализации</w:t>
            </w:r>
          </w:p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муниципальной программы</w:t>
            </w:r>
          </w:p>
        </w:tc>
      </w:tr>
      <w:tr>
        <w:trPr>
          <w:cantSplit/>
          <w:trHeight w:val="1279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1000" w:type="dxa"/>
            <w:vMerge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0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00" w:type="dxa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-108" w:right="-108"/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113" w:right="-108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2026 год</w:t>
            </w:r>
          </w:p>
        </w:tc>
        <w:tc>
          <w:tcPr>
            <w:tcW w:w="900" w:type="dxa"/>
            <w:vAlign w:val="center"/>
            <w:textDirection w:val="btLr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113" w:right="-108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2027 год</w:t>
            </w:r>
          </w:p>
        </w:tc>
        <w:tc>
          <w:tcPr>
            <w:tcW w:w="667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113" w:right="113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2028 год</w:t>
            </w:r>
          </w:p>
        </w:tc>
        <w:tc>
          <w:tcPr>
            <w:tcW w:w="708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113" w:right="113"/>
              <w:spacing/>
              <w:jc w:val="left"/>
              <w:tabs defTabSz="720">
                <w:tab w:val="left" w:pos="884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2029 год</w:t>
            </w:r>
          </w:p>
        </w:tc>
        <w:tc>
          <w:tcPr>
            <w:tcW w:w="709" w:type="dxa"/>
            <w:vAlign w:val="center"/>
            <w:textDirection w:val="btLr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ind w:left="113" w:right="113"/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2030 год</w:t>
            </w:r>
          </w:p>
        </w:tc>
      </w:tr>
    </w:tbl>
    <w:p>
      <w:pPr>
        <w:spacing/>
        <w:jc w:val="right"/>
        <w:outlineLvl w:val="2"/>
        <w:widowControl w:val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14884" w:type="dxa"/>
        <w:tblLook w:val="00A0" w:firstRow="1" w:lastRow="0" w:firstColumn="1" w:lastColumn="0" w:noHBand="0" w:noVBand="0"/>
      </w:tblPr>
      <w:tblGrid>
        <w:gridCol w:w="1560"/>
        <w:gridCol w:w="204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667"/>
        <w:gridCol w:w="708"/>
        <w:gridCol w:w="709"/>
      </w:tblGrid>
      <w:tr>
        <w:trPr>
          <w:tblHeader/>
          <w:cantSplit w:val="0"/>
          <w:trHeight w:val="315" w:hRule="atLeast"/>
        </w:trPr>
        <w:tc>
          <w:tcPr>
            <w:tcW w:w="15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4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в том числе за счет средств: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федерального бюджета,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 w:eastAsia="Calibri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color w:val="auto"/>
                <w:sz w:val="20"/>
              </w:rPr>
              <w:t>Подпрограм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</w:rPr>
              <w:t>ма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1 «</w:t>
            </w:r>
            <w:r>
              <w:rPr>
                <w:rFonts w:ascii="Times New Roman" w:hAnsi="Times New Roman" w:eastAsia="Calibri"/>
                <w:color w:val="auto"/>
                <w:sz w:val="20"/>
              </w:rPr>
              <w:t xml:space="preserve">Социальная </w:t>
            </w:r>
            <w:r>
              <w:rPr>
                <w:rFonts w:ascii="Times New Roman" w:hAnsi="Times New Roman" w:eastAsia="Calibri"/>
                <w:color w:val="auto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 w:eastAsia="Calibri"/>
                <w:color w:val="auto"/>
                <w:sz w:val="20"/>
              </w:rPr>
              <w:t>поддержка отдельных категорий  граждан</w:t>
            </w:r>
            <w:r>
              <w:rPr>
                <w:rFonts w:ascii="Times New Roman" w:hAnsi="Times New Roman"/>
                <w:color w:val="auto"/>
                <w:sz w:val="20"/>
              </w:rPr>
              <w:t>»</w:t>
            </w:r>
          </w:p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7047,0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widowControl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115,3</w:t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320,5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394,4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684,4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794,0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</w:r>
          </w:p>
        </w:tc>
        <w:tc>
          <w:tcPr>
            <w:tcW w:w="90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689,2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672,0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330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в том числе за счет средств: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областного бюджета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федерального бюджета</w:t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1560" w:type="dxa"/>
            <w:vMerge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/>
        </w:tc>
        <w:tc>
          <w:tcPr>
            <w:tcW w:w="20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  <w:r>
              <w:rPr>
                <w:rFonts w:ascii="Times New Roman" w:hAnsi="Times New Roman"/>
                <w:bCs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highlight w:val="yellow"/>
                <w:sz w:val="20"/>
              </w:rPr>
            </w:pPr>
            <w:r>
              <w:rPr>
                <w:rFonts w:ascii="Times New Roman" w:hAnsi="Times New Roman"/>
                <w:b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10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893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sz w:val="20"/>
              </w:rPr>
            </w:pPr>
            <w:r>
              <w:rPr>
                <w:rFonts w:ascii="Times New Roman" w:hAnsi="Times New Roman"/>
                <w:highlight w:val="yellow"/>
                <w:sz w:val="20"/>
              </w:rPr>
            </w:r>
          </w:p>
        </w:tc>
        <w:tc>
          <w:tcPr>
            <w:tcW w:w="90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9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667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  <w:tc>
          <w:tcPr>
            <w:tcW w:w="70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3608" protected="0"/>
          </w:tcPr>
          <w:p>
            <w:pPr>
              <w:spacing/>
              <w:jc w:val="center"/>
              <w:rPr>
                <w:rFonts w:ascii="Times New Roman" w:hAnsi="Times New Roman"/>
                <w:highlight w:val="yellow"/>
                <w:color w:val="auto"/>
                <w:sz w:val="20"/>
              </w:rPr>
            </w:pPr>
            <w:r>
              <w:rPr>
                <w:rFonts w:ascii="Times New Roman" w:hAnsi="Times New Roman"/>
                <w:highlight w:val="yellow"/>
                <w:color w:val="auto"/>
                <w:sz w:val="20"/>
              </w:rPr>
            </w:r>
          </w:p>
        </w:tc>
      </w:tr>
    </w:tbl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 xml:space="preserve">                             М.В. Санжарова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69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442360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2024-09-13T12:21:00Z</cp:lastPrinted>
  <dcterms:created xsi:type="dcterms:W3CDTF">2023-06-21T08:31:00Z</dcterms:created>
  <dcterms:modified xsi:type="dcterms:W3CDTF">2024-12-17T08:20:08Z</dcterms:modified>
</cp:coreProperties>
</file>